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יעל ייטב</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0B399B" w:rsidRDefault="00EB6017" w:rsidP="00A52B83">
                <w:pPr>
                  <w:suppressLineNumbers/>
                  <w:rPr>
                    <w:rFonts w:ascii="Arial" w:hAnsi="Arial"/>
                    <w:b/>
                    <w:bCs/>
                    <w:noProof w:val="0"/>
                    <w:sz w:val="26"/>
                    <w:szCs w:val="26"/>
                    <w:rtl/>
                  </w:rPr>
                </w:pPr>
                <w:r>
                  <w:rPr>
                    <w:rFonts w:ascii="Arial" w:hAnsi="Arial" w:hint="cs"/>
                    <w:b/>
                    <w:bCs/>
                    <w:noProof w:val="0"/>
                    <w:sz w:val="26"/>
                    <w:szCs w:val="26"/>
                    <w:rtl/>
                  </w:rPr>
                  <w:t>ה</w:t>
                </w:r>
                <w:r w:rsidR="00284A53">
                  <w:rPr>
                    <w:rFonts w:ascii="Arial" w:hAnsi="Arial"/>
                    <w:b/>
                    <w:bCs/>
                    <w:noProof w:val="0"/>
                    <w:sz w:val="26"/>
                    <w:szCs w:val="26"/>
                    <w:rtl/>
                  </w:rPr>
                  <w:t>מ</w:t>
                </w:r>
                <w:r w:rsidR="00A52B83">
                  <w:rPr>
                    <w:rFonts w:ascii="Arial" w:hAnsi="Arial" w:hint="cs"/>
                    <w:b/>
                    <w:bCs/>
                    <w:noProof w:val="0"/>
                    <w:sz w:val="26"/>
                    <w:szCs w:val="26"/>
                    <w:rtl/>
                  </w:rPr>
                  <w:t>בקש</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C2453" w:rsidP="00A52B83">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59C5">
                  <w:rPr>
                    <w:rFonts w:ascii="Arial" w:hAnsi="Arial" w:hint="eastAsia"/>
                    <w:b/>
                    <w:bCs/>
                    <w:noProof w:val="0"/>
                    <w:sz w:val="26"/>
                    <w:szCs w:val="26"/>
                    <w:rtl/>
                  </w:rPr>
                  <w:t>אלכס שוד</w:t>
                </w:r>
              </w:sdtContent>
            </w:sdt>
            <w:r w:rsidR="00B859C5">
              <w:rPr>
                <w:rFonts w:hint="cs"/>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6C64B5" w:rsidP="00EB6017">
            <w:pPr>
              <w:suppressLineNumbers/>
              <w:rPr>
                <w:rFonts w:ascii="Arial" w:hAnsi="Arial"/>
                <w:b/>
                <w:bCs/>
                <w:noProof w:val="0"/>
                <w:sz w:val="26"/>
                <w:szCs w:val="26"/>
              </w:rPr>
            </w:pPr>
            <w:sdt>
              <w:sdtPr>
                <w:rPr>
                  <w:rtl/>
                </w:rPr>
                <w:alias w:val="1184"/>
                <w:tag w:val="1184"/>
                <w:id w:val="-340621022"/>
                <w:text w:multiLine="1"/>
              </w:sdtPr>
              <w:sdtEndPr/>
              <w:sdtContent>
                <w:r w:rsidR="00EB6017">
                  <w:rPr>
                    <w:rFonts w:ascii="Arial" w:hAnsi="Arial" w:hint="cs"/>
                    <w:b/>
                    <w:bCs/>
                    <w:noProof w:val="0"/>
                    <w:sz w:val="26"/>
                    <w:szCs w:val="26"/>
                    <w:rtl/>
                  </w:rPr>
                  <w:t>ה</w:t>
                </w:r>
                <w:r w:rsidR="00B859C5">
                  <w:rPr>
                    <w:rFonts w:ascii="Arial" w:hAnsi="Arial"/>
                    <w:b/>
                    <w:bCs/>
                    <w:noProof w:val="0"/>
                    <w:sz w:val="26"/>
                    <w:szCs w:val="26"/>
                    <w:rtl/>
                  </w:rPr>
                  <w:t>משיב</w:t>
                </w:r>
              </w:sdtContent>
            </w:sdt>
          </w:p>
        </w:tc>
        <w:tc>
          <w:tcPr>
            <w:tcW w:w="5571" w:type="dxa"/>
          </w:tcPr>
          <w:p w:rsidR="00CF6BB7" w:rsidRPr="009E461A" w:rsidRDefault="007C2453" w:rsidP="00EB6017">
            <w:pPr>
              <w:suppressLineNumbers/>
              <w:rPr>
                <w:rtl/>
              </w:rPr>
            </w:pPr>
            <w:r>
              <w:rPr>
                <w:rFonts w:ascii="Arial" w:hAnsi="Arial" w:hint="cs"/>
                <w:b/>
                <w:bCs/>
                <w:noProof w:val="0"/>
                <w:sz w:val="26"/>
                <w:szCs w:val="26"/>
                <w:rtl/>
              </w:rPr>
              <w:t xml:space="preserve"> </w:t>
            </w:r>
            <w:r w:rsidR="00EB6017">
              <w:rPr>
                <w:rFonts w:ascii="Arial" w:hAnsi="Arial" w:hint="cs"/>
                <w:b/>
                <w:bCs/>
                <w:noProof w:val="0"/>
                <w:sz w:val="26"/>
                <w:szCs w:val="26"/>
                <w:rtl/>
              </w:rPr>
              <w:t>פקיד שומה אשקלון</w:t>
            </w:r>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A46717" w:rsidRPr="00272E32" w:rsidRDefault="006C64B5" w:rsidP="00A46717">
            <w:pPr>
              <w:rPr>
                <w:rFonts w:ascii="Arial" w:hAnsi="Arial"/>
                <w:b/>
                <w:bCs/>
                <w:noProof w:val="0"/>
                <w:sz w:val="26"/>
                <w:szCs w:val="26"/>
              </w:rPr>
            </w:pPr>
            <w:sdt>
              <w:sdtPr>
                <w:rPr>
                  <w:rFonts w:ascii="Arial" w:hAnsi="Arial"/>
                  <w:b/>
                  <w:bCs/>
                  <w:noProof w:val="0"/>
                  <w:sz w:val="26"/>
                  <w:szCs w:val="26"/>
                  <w:rtl/>
                </w:rPr>
                <w:alias w:val="2360"/>
                <w:tag w:val="2360"/>
                <w:id w:val="-1765608184"/>
                <w:lock w:val="contentLocked"/>
                <w:placeholder>
                  <w:docPart w:val="C0D9D4EB038F4D9DB24B5A2B7A8F2E7B"/>
                </w:placeholder>
                <w:text w:multiLine="1"/>
              </w:sdtPr>
              <w:sdtEndPr/>
              <w:sdtContent/>
            </w:sdt>
          </w:p>
        </w:tc>
        <w:tc>
          <w:tcPr>
            <w:tcW w:w="5571" w:type="dxa"/>
          </w:tcPr>
          <w:p w:rsidR="00A46717" w:rsidRPr="007C2453" w:rsidRDefault="006C64B5" w:rsidP="00A46717">
            <w:pPr>
              <w:rPr>
                <w:rFonts w:ascii="Arial" w:hAnsi="Arial"/>
                <w:b/>
                <w:bCs/>
                <w:noProof w:val="0"/>
                <w:sz w:val="26"/>
                <w:szCs w:val="26"/>
              </w:rPr>
            </w:pPr>
            <w:sdt>
              <w:sdtPr>
                <w:rPr>
                  <w:rFonts w:ascii="Arial" w:hAnsi="Arial"/>
                  <w:b/>
                  <w:bCs/>
                  <w:noProof w:val="0"/>
                  <w:sz w:val="26"/>
                  <w:szCs w:val="26"/>
                  <w:rtl/>
                </w:rPr>
                <w:alias w:val="3153"/>
                <w:tag w:val="3153"/>
                <w:id w:val="-1834055329"/>
                <w:lock w:val="contentLocked"/>
                <w:placeholder>
                  <w:docPart w:val="D0835A28627A476594973290286577B2"/>
                </w:placeholder>
                <w:text w:multiLine="1"/>
              </w:sdtPr>
              <w:sdtEndPr/>
              <w:sdtContent/>
            </w:sdt>
          </w:p>
        </w:tc>
      </w:tr>
      <w:tr w:rsidR="004C17EE" w:rsidTr="00D620FD">
        <w:trPr>
          <w:jc w:val="center"/>
        </w:trPr>
        <w:tc>
          <w:tcPr>
            <w:tcW w:w="8820" w:type="dxa"/>
            <w:gridSpan w:val="3"/>
          </w:tcPr>
          <w:p w:rsidR="000B399B" w:rsidRDefault="000B399B">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94556" w:rsidRPr="00C770E3" w:rsidRDefault="00694556">
      <w:pPr>
        <w:spacing w:line="360" w:lineRule="auto"/>
        <w:jc w:val="both"/>
        <w:rPr>
          <w:rFonts w:ascii="Arial" w:hAnsi="Arial"/>
          <w:noProof w:val="0"/>
          <w:rtl/>
        </w:rPr>
      </w:pPr>
      <w:bookmarkStart w:id="1" w:name="NGCSBookmark"/>
      <w:bookmarkEnd w:id="1"/>
    </w:p>
    <w:p w:rsidR="00EB6017" w:rsidRDefault="00EB6017" w:rsidP="00EB6017">
      <w:pPr>
        <w:rPr>
          <w:rFonts w:ascii="David" w:hAnsi="David"/>
          <w:b/>
          <w:bCs/>
          <w:sz w:val="26"/>
          <w:szCs w:val="26"/>
          <w:u w:val="single"/>
          <w:rtl/>
        </w:rPr>
      </w:pPr>
      <w:r>
        <w:rPr>
          <w:rFonts w:ascii="David" w:hAnsi="David"/>
          <w:b/>
          <w:bCs/>
          <w:sz w:val="26"/>
          <w:szCs w:val="26"/>
          <w:u w:val="single"/>
          <w:rtl/>
        </w:rPr>
        <w:t>מבוא</w:t>
      </w:r>
    </w:p>
    <w:p w:rsidR="00EB6017" w:rsidRDefault="00EB6017" w:rsidP="00EB6017">
      <w:pPr>
        <w:rPr>
          <w:rFonts w:ascii="David" w:hAnsi="David"/>
          <w:sz w:val="26"/>
          <w:szCs w:val="26"/>
          <w:rtl/>
        </w:rPr>
      </w:pPr>
    </w:p>
    <w:p w:rsidR="00EB6017" w:rsidRDefault="00777276" w:rsidP="00777276">
      <w:pPr>
        <w:pStyle w:val="ad"/>
        <w:numPr>
          <w:ilvl w:val="0"/>
          <w:numId w:val="1"/>
        </w:numPr>
        <w:spacing w:line="360" w:lineRule="auto"/>
        <w:jc w:val="both"/>
        <w:rPr>
          <w:rFonts w:ascii="David" w:hAnsi="David" w:cs="David"/>
          <w:sz w:val="26"/>
          <w:szCs w:val="26"/>
          <w:rtl/>
        </w:rPr>
      </w:pPr>
      <w:r>
        <w:rPr>
          <w:rFonts w:ascii="David" w:hAnsi="David" w:cs="David"/>
          <w:sz w:val="26"/>
          <w:szCs w:val="26"/>
          <w:rtl/>
        </w:rPr>
        <w:t>ההליך שלפני נפתח ביום 14.5.2023</w:t>
      </w:r>
      <w:r w:rsidR="00EB6017">
        <w:rPr>
          <w:rFonts w:ascii="David" w:hAnsi="David" w:cs="David"/>
          <w:sz w:val="26"/>
          <w:szCs w:val="26"/>
          <w:rtl/>
        </w:rPr>
        <w:t xml:space="preserve"> כערעור מס</w:t>
      </w:r>
      <w:r w:rsidRPr="00777276">
        <w:rPr>
          <w:rFonts w:ascii="David" w:hAnsi="David" w:cs="David"/>
          <w:sz w:val="26"/>
          <w:szCs w:val="26"/>
          <w:rtl/>
        </w:rPr>
        <w:t xml:space="preserve"> </w:t>
      </w:r>
      <w:r>
        <w:rPr>
          <w:rFonts w:ascii="David" w:hAnsi="David" w:cs="David" w:hint="cs"/>
          <w:sz w:val="26"/>
          <w:szCs w:val="26"/>
          <w:rtl/>
        </w:rPr>
        <w:t xml:space="preserve">נגד </w:t>
      </w:r>
      <w:r>
        <w:rPr>
          <w:rFonts w:ascii="David" w:hAnsi="David" w:cs="David"/>
          <w:sz w:val="26"/>
          <w:szCs w:val="26"/>
          <w:rtl/>
        </w:rPr>
        <w:t>פקיד שומה אשקלון (להלן – "</w:t>
      </w:r>
      <w:r>
        <w:rPr>
          <w:rFonts w:ascii="David" w:hAnsi="David" w:cs="David"/>
          <w:b/>
          <w:bCs/>
          <w:sz w:val="26"/>
          <w:szCs w:val="26"/>
          <w:rtl/>
        </w:rPr>
        <w:t>פקיד השומה</w:t>
      </w:r>
      <w:r>
        <w:rPr>
          <w:rFonts w:ascii="David" w:hAnsi="David" w:cs="David"/>
          <w:sz w:val="26"/>
          <w:szCs w:val="26"/>
          <w:rtl/>
        </w:rPr>
        <w:t>")</w:t>
      </w:r>
      <w:r w:rsidR="00EB6017">
        <w:rPr>
          <w:rFonts w:ascii="David" w:hAnsi="David" w:cs="David"/>
          <w:sz w:val="26"/>
          <w:szCs w:val="26"/>
          <w:rtl/>
        </w:rPr>
        <w:t>, ובהתאם לסיווג התיק שולמה אגרה בסכום של 970 ₪. אלא שבגדרו של ההליך לא הוגש ערעור על החלט</w:t>
      </w:r>
      <w:r>
        <w:rPr>
          <w:rFonts w:ascii="David" w:hAnsi="David" w:cs="David" w:hint="cs"/>
          <w:sz w:val="26"/>
          <w:szCs w:val="26"/>
          <w:rtl/>
        </w:rPr>
        <w:t xml:space="preserve">ה </w:t>
      </w:r>
      <w:r w:rsidR="00EB6017">
        <w:rPr>
          <w:rFonts w:ascii="David" w:hAnsi="David" w:cs="David"/>
          <w:sz w:val="26"/>
          <w:szCs w:val="26"/>
          <w:rtl/>
        </w:rPr>
        <w:t xml:space="preserve">שלגביה נקבע </w:t>
      </w:r>
      <w:r w:rsidR="00EB6017">
        <w:rPr>
          <w:rFonts w:ascii="David" w:hAnsi="David" w:cs="David"/>
          <w:b/>
          <w:bCs/>
          <w:sz w:val="26"/>
          <w:szCs w:val="26"/>
          <w:rtl/>
        </w:rPr>
        <w:t>בפקודת מס הכנסה [נוסח חדש], התשכ"א- 1961</w:t>
      </w:r>
      <w:r w:rsidR="00EB6017">
        <w:rPr>
          <w:rFonts w:ascii="David" w:hAnsi="David" w:cs="David"/>
          <w:sz w:val="26"/>
          <w:szCs w:val="26"/>
          <w:rtl/>
        </w:rPr>
        <w:t xml:space="preserve"> (להלן- "</w:t>
      </w:r>
      <w:r w:rsidR="00EB6017">
        <w:rPr>
          <w:rFonts w:ascii="David" w:hAnsi="David" w:cs="David"/>
          <w:b/>
          <w:bCs/>
          <w:sz w:val="26"/>
          <w:szCs w:val="26"/>
          <w:rtl/>
        </w:rPr>
        <w:t>פקודת מס הכנסה"</w:t>
      </w:r>
      <w:r w:rsidR="00EB6017">
        <w:rPr>
          <w:rFonts w:ascii="David" w:hAnsi="David" w:cs="David"/>
          <w:sz w:val="26"/>
          <w:szCs w:val="26"/>
          <w:rtl/>
        </w:rPr>
        <w:t xml:space="preserve">) או </w:t>
      </w:r>
      <w:r w:rsidR="00EB6017">
        <w:rPr>
          <w:rFonts w:ascii="David" w:hAnsi="David" w:cs="David"/>
          <w:b/>
          <w:bCs/>
          <w:sz w:val="26"/>
          <w:szCs w:val="26"/>
          <w:rtl/>
        </w:rPr>
        <w:t>בפקודת המסים (גביה</w:t>
      </w:r>
      <w:r w:rsidR="00EB6017">
        <w:rPr>
          <w:rFonts w:ascii="David" w:hAnsi="David" w:cs="David"/>
          <w:sz w:val="26"/>
          <w:szCs w:val="26"/>
          <w:rtl/>
        </w:rPr>
        <w:t>)</w:t>
      </w:r>
      <w:r>
        <w:rPr>
          <w:rFonts w:ascii="David" w:hAnsi="David" w:cs="David" w:hint="cs"/>
          <w:sz w:val="26"/>
          <w:szCs w:val="26"/>
          <w:rtl/>
        </w:rPr>
        <w:t xml:space="preserve">, </w:t>
      </w:r>
      <w:r>
        <w:rPr>
          <w:rFonts w:ascii="David" w:hAnsi="David" w:cs="David"/>
          <w:sz w:val="26"/>
          <w:szCs w:val="26"/>
          <w:rtl/>
        </w:rPr>
        <w:t>כי ניתן להגיש עליה ערעור לבית משפט זה</w:t>
      </w:r>
      <w:r w:rsidR="00EB6017">
        <w:rPr>
          <w:rFonts w:ascii="David" w:hAnsi="David" w:cs="David"/>
          <w:sz w:val="26"/>
          <w:szCs w:val="26"/>
          <w:rtl/>
        </w:rPr>
        <w:t xml:space="preserve">. </w:t>
      </w:r>
    </w:p>
    <w:p w:rsidR="00EB6017" w:rsidRDefault="00EB6017" w:rsidP="007C09E2">
      <w:pPr>
        <w:pStyle w:val="ad"/>
        <w:numPr>
          <w:ilvl w:val="0"/>
          <w:numId w:val="1"/>
        </w:numPr>
        <w:spacing w:line="360" w:lineRule="auto"/>
        <w:jc w:val="both"/>
        <w:rPr>
          <w:rFonts w:ascii="David" w:hAnsi="David" w:cs="David"/>
          <w:sz w:val="26"/>
          <w:szCs w:val="26"/>
        </w:rPr>
      </w:pPr>
      <w:r>
        <w:rPr>
          <w:rFonts w:ascii="David" w:hAnsi="David" w:cs="David"/>
          <w:sz w:val="26"/>
          <w:szCs w:val="26"/>
          <w:rtl/>
        </w:rPr>
        <w:t>כתב הטענות הפותח את ההליך הוכתר בכותרת</w:t>
      </w:r>
      <w:r>
        <w:rPr>
          <w:rFonts w:ascii="David" w:hAnsi="David" w:cs="David"/>
          <w:b/>
          <w:bCs/>
          <w:sz w:val="26"/>
          <w:szCs w:val="26"/>
          <w:rtl/>
        </w:rPr>
        <w:t xml:space="preserve"> "בקשה דחופה ובהולה לשחרור רכב תפוס" </w:t>
      </w:r>
      <w:r>
        <w:rPr>
          <w:rFonts w:ascii="David" w:hAnsi="David" w:cs="David"/>
          <w:sz w:val="26"/>
          <w:szCs w:val="26"/>
          <w:rtl/>
        </w:rPr>
        <w:t>(להלן-</w:t>
      </w:r>
      <w:r>
        <w:rPr>
          <w:rFonts w:ascii="David" w:hAnsi="David" w:cs="David"/>
          <w:b/>
          <w:bCs/>
          <w:sz w:val="26"/>
          <w:szCs w:val="26"/>
          <w:rtl/>
        </w:rPr>
        <w:t xml:space="preserve"> "הבקשה")</w:t>
      </w:r>
      <w:r w:rsidR="00777276">
        <w:rPr>
          <w:rFonts w:ascii="David" w:hAnsi="David" w:cs="David" w:hint="cs"/>
          <w:b/>
          <w:bCs/>
          <w:sz w:val="26"/>
          <w:szCs w:val="26"/>
          <w:rtl/>
        </w:rPr>
        <w:t>,</w:t>
      </w:r>
      <w:r>
        <w:rPr>
          <w:rFonts w:ascii="David" w:hAnsi="David" w:cs="David"/>
          <w:b/>
          <w:bCs/>
          <w:sz w:val="26"/>
          <w:szCs w:val="26"/>
          <w:rtl/>
        </w:rPr>
        <w:t xml:space="preserve"> </w:t>
      </w:r>
      <w:r>
        <w:rPr>
          <w:rFonts w:ascii="David" w:hAnsi="David" w:cs="David"/>
          <w:sz w:val="26"/>
          <w:szCs w:val="26"/>
          <w:rtl/>
        </w:rPr>
        <w:t xml:space="preserve">ובגדרה </w:t>
      </w:r>
      <w:r>
        <w:rPr>
          <w:rFonts w:ascii="David" w:hAnsi="David" w:cs="David" w:hint="cs"/>
          <w:sz w:val="26"/>
          <w:szCs w:val="26"/>
          <w:rtl/>
        </w:rPr>
        <w:t>ה</w:t>
      </w:r>
      <w:r w:rsidR="00777276">
        <w:rPr>
          <w:rFonts w:ascii="David" w:hAnsi="David" w:cs="David" w:hint="cs"/>
          <w:sz w:val="26"/>
          <w:szCs w:val="26"/>
          <w:rtl/>
        </w:rPr>
        <w:t>ת</w:t>
      </w:r>
      <w:r>
        <w:rPr>
          <w:rFonts w:ascii="David" w:hAnsi="David" w:cs="David" w:hint="cs"/>
          <w:sz w:val="26"/>
          <w:szCs w:val="26"/>
          <w:rtl/>
        </w:rPr>
        <w:t>בקש</w:t>
      </w:r>
      <w:r w:rsidR="00777276">
        <w:rPr>
          <w:rFonts w:ascii="David" w:hAnsi="David" w:cs="David" w:hint="cs"/>
          <w:sz w:val="26"/>
          <w:szCs w:val="26"/>
          <w:rtl/>
        </w:rPr>
        <w:t xml:space="preserve"> בית המשפט</w:t>
      </w:r>
      <w:r>
        <w:rPr>
          <w:rFonts w:ascii="David" w:hAnsi="David" w:cs="David" w:hint="cs"/>
          <w:sz w:val="26"/>
          <w:szCs w:val="26"/>
          <w:rtl/>
        </w:rPr>
        <w:t xml:space="preserve"> </w:t>
      </w:r>
      <w:r>
        <w:rPr>
          <w:rFonts w:ascii="David" w:hAnsi="David" w:cs="David"/>
          <w:sz w:val="26"/>
          <w:szCs w:val="26"/>
          <w:rtl/>
        </w:rPr>
        <w:t>להורות</w:t>
      </w:r>
      <w:r w:rsidR="007C09E2">
        <w:rPr>
          <w:rFonts w:ascii="David" w:hAnsi="David" w:cs="David" w:hint="cs"/>
          <w:sz w:val="26"/>
          <w:szCs w:val="26"/>
          <w:rtl/>
        </w:rPr>
        <w:t>,</w:t>
      </w:r>
      <w:r>
        <w:rPr>
          <w:rFonts w:ascii="David" w:hAnsi="David" w:cs="David"/>
          <w:sz w:val="26"/>
          <w:szCs w:val="26"/>
          <w:rtl/>
        </w:rPr>
        <w:t xml:space="preserve"> </w:t>
      </w:r>
      <w:r w:rsidR="007C09E2">
        <w:rPr>
          <w:rFonts w:ascii="David" w:hAnsi="David" w:cs="David" w:hint="cs"/>
          <w:sz w:val="26"/>
          <w:szCs w:val="26"/>
          <w:rtl/>
        </w:rPr>
        <w:t xml:space="preserve">בתחילת הבקשה, </w:t>
      </w:r>
      <w:r>
        <w:rPr>
          <w:rFonts w:ascii="David" w:hAnsi="David" w:cs="David"/>
          <w:sz w:val="26"/>
          <w:szCs w:val="26"/>
          <w:rtl/>
        </w:rPr>
        <w:t>על עצירת הליכי מימוש עיקול רכב שתפס פקיד השומה על פי פקודת המסים (גביה)</w:t>
      </w:r>
      <w:r>
        <w:rPr>
          <w:rFonts w:ascii="David" w:hAnsi="David" w:cs="David"/>
          <w:b/>
          <w:bCs/>
          <w:sz w:val="26"/>
          <w:szCs w:val="26"/>
          <w:rtl/>
        </w:rPr>
        <w:t xml:space="preserve">, </w:t>
      </w:r>
      <w:r w:rsidR="007C09E2">
        <w:rPr>
          <w:rFonts w:ascii="David" w:hAnsi="David" w:cs="David" w:hint="cs"/>
          <w:sz w:val="26"/>
          <w:szCs w:val="26"/>
          <w:rtl/>
        </w:rPr>
        <w:t>ו</w:t>
      </w:r>
      <w:r>
        <w:rPr>
          <w:rFonts w:ascii="David" w:hAnsi="David" w:cs="David"/>
          <w:sz w:val="26"/>
          <w:szCs w:val="26"/>
          <w:rtl/>
        </w:rPr>
        <w:t>ב</w:t>
      </w:r>
      <w:r w:rsidR="007C09E2">
        <w:rPr>
          <w:rFonts w:ascii="David" w:hAnsi="David" w:cs="David" w:hint="cs"/>
          <w:sz w:val="26"/>
          <w:szCs w:val="26"/>
          <w:rtl/>
        </w:rPr>
        <w:t>סופה של הבקשה</w:t>
      </w:r>
      <w:r w:rsidR="007C09E2">
        <w:rPr>
          <w:rFonts w:ascii="David" w:hAnsi="David" w:cs="David"/>
          <w:sz w:val="26"/>
          <w:szCs w:val="26"/>
          <w:rtl/>
        </w:rPr>
        <w:t xml:space="preserve">, </w:t>
      </w:r>
      <w:r w:rsidR="00777276">
        <w:rPr>
          <w:rFonts w:ascii="David" w:hAnsi="David" w:cs="David" w:hint="cs"/>
          <w:sz w:val="26"/>
          <w:szCs w:val="26"/>
          <w:rtl/>
        </w:rPr>
        <w:t xml:space="preserve">על </w:t>
      </w:r>
      <w:r>
        <w:rPr>
          <w:rFonts w:ascii="David" w:hAnsi="David" w:cs="David"/>
          <w:sz w:val="26"/>
          <w:szCs w:val="26"/>
          <w:rtl/>
        </w:rPr>
        <w:t>המר</w:t>
      </w:r>
      <w:r w:rsidR="007C09E2">
        <w:rPr>
          <w:rFonts w:ascii="David" w:hAnsi="David" w:cs="David" w:hint="cs"/>
          <w:sz w:val="26"/>
          <w:szCs w:val="26"/>
          <w:rtl/>
        </w:rPr>
        <w:t>ת</w:t>
      </w:r>
      <w:r>
        <w:rPr>
          <w:rFonts w:ascii="David" w:hAnsi="David" w:cs="David"/>
          <w:sz w:val="26"/>
          <w:szCs w:val="26"/>
          <w:rtl/>
        </w:rPr>
        <w:t xml:space="preserve"> תפיסת הרכב </w:t>
      </w:r>
      <w:r>
        <w:rPr>
          <w:rFonts w:ascii="David" w:hAnsi="David" w:cs="David" w:hint="cs"/>
          <w:sz w:val="26"/>
          <w:szCs w:val="26"/>
          <w:rtl/>
        </w:rPr>
        <w:t xml:space="preserve">(ומכירתו) </w:t>
      </w:r>
      <w:r>
        <w:rPr>
          <w:rFonts w:ascii="David" w:hAnsi="David" w:cs="David"/>
          <w:sz w:val="26"/>
          <w:szCs w:val="26"/>
          <w:rtl/>
        </w:rPr>
        <w:t>בעיקול ברישום</w:t>
      </w:r>
      <w:r>
        <w:rPr>
          <w:rFonts w:ascii="David" w:hAnsi="David" w:cs="David"/>
          <w:b/>
          <w:bCs/>
          <w:sz w:val="26"/>
          <w:szCs w:val="26"/>
          <w:rtl/>
        </w:rPr>
        <w:t xml:space="preserve">.  </w:t>
      </w:r>
    </w:p>
    <w:p w:rsidR="00EB6017" w:rsidRDefault="00EB6017" w:rsidP="007C09E2">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אקדים ואציין כי לאחר שמיעת טענות הצדדים מצאתי </w:t>
      </w:r>
      <w:r w:rsidR="007C09E2">
        <w:rPr>
          <w:rFonts w:ascii="David" w:hAnsi="David" w:cs="David" w:hint="cs"/>
          <w:sz w:val="26"/>
          <w:szCs w:val="26"/>
          <w:rtl/>
        </w:rPr>
        <w:t xml:space="preserve">כי </w:t>
      </w:r>
      <w:r>
        <w:rPr>
          <w:rFonts w:ascii="David" w:hAnsi="David" w:cs="David"/>
          <w:sz w:val="26"/>
          <w:szCs w:val="26"/>
          <w:rtl/>
        </w:rPr>
        <w:t xml:space="preserve">יש להורות על מחיקת הבקשה על הסף, וזאת מהטעם שהמבקש נקט </w:t>
      </w:r>
      <w:r w:rsidR="00A52B83">
        <w:rPr>
          <w:rFonts w:ascii="David" w:hAnsi="David" w:cs="David" w:hint="cs"/>
          <w:sz w:val="26"/>
          <w:szCs w:val="26"/>
          <w:rtl/>
        </w:rPr>
        <w:t>בהליך</w:t>
      </w:r>
      <w:r>
        <w:rPr>
          <w:rFonts w:ascii="David" w:hAnsi="David" w:cs="David"/>
          <w:sz w:val="26"/>
          <w:szCs w:val="26"/>
          <w:rtl/>
        </w:rPr>
        <w:t xml:space="preserve"> שגוי, ולא הצביע על סמכות עניינית של בית משפט זה לדון בבקשה במתכונתה הנוכחית.</w:t>
      </w:r>
    </w:p>
    <w:p w:rsidR="00EB6017" w:rsidRDefault="00EB6017" w:rsidP="00EB6017">
      <w:pPr>
        <w:spacing w:line="360" w:lineRule="auto"/>
        <w:ind w:left="360"/>
        <w:rPr>
          <w:rFonts w:ascii="David" w:hAnsi="David"/>
          <w:b/>
          <w:bCs/>
          <w:sz w:val="26"/>
          <w:szCs w:val="26"/>
          <w:u w:val="single"/>
        </w:rPr>
      </w:pPr>
      <w:r>
        <w:rPr>
          <w:rFonts w:ascii="David" w:hAnsi="David"/>
          <w:b/>
          <w:bCs/>
          <w:sz w:val="26"/>
          <w:szCs w:val="26"/>
          <w:u w:val="single"/>
          <w:rtl/>
        </w:rPr>
        <w:t>הבקשה</w:t>
      </w:r>
    </w:p>
    <w:p w:rsidR="00EB6017" w:rsidRDefault="00EB6017" w:rsidP="007C09E2">
      <w:pPr>
        <w:pStyle w:val="ad"/>
        <w:numPr>
          <w:ilvl w:val="0"/>
          <w:numId w:val="1"/>
        </w:numPr>
        <w:spacing w:line="360" w:lineRule="auto"/>
        <w:jc w:val="both"/>
        <w:rPr>
          <w:rFonts w:ascii="David" w:hAnsi="David" w:cs="David"/>
          <w:sz w:val="26"/>
          <w:szCs w:val="26"/>
        </w:rPr>
      </w:pPr>
      <w:r>
        <w:rPr>
          <w:rFonts w:ascii="David" w:hAnsi="David" w:cs="David"/>
          <w:sz w:val="26"/>
          <w:szCs w:val="26"/>
          <w:rtl/>
        </w:rPr>
        <w:t>בבקשה, אשר הוגשה כאמור ככתב הטענות הפותח הליך זה, הוגדר</w:t>
      </w:r>
      <w:r w:rsidR="007C09E2">
        <w:rPr>
          <w:rFonts w:ascii="David" w:hAnsi="David" w:cs="David" w:hint="cs"/>
          <w:sz w:val="26"/>
          <w:szCs w:val="26"/>
          <w:rtl/>
        </w:rPr>
        <w:t>ה תמצית הסעד המבוקש</w:t>
      </w:r>
      <w:r>
        <w:rPr>
          <w:rFonts w:ascii="David" w:hAnsi="David" w:cs="David"/>
          <w:sz w:val="26"/>
          <w:szCs w:val="26"/>
          <w:rtl/>
        </w:rPr>
        <w:t xml:space="preserve"> כמתן צו להורות על עיכוב מימוש עיקול רכבו של המבקש, רכב מסוג טסלה </w:t>
      </w:r>
      <w:r>
        <w:rPr>
          <w:rFonts w:ascii="David" w:hAnsi="David" w:cs="David"/>
          <w:sz w:val="26"/>
          <w:szCs w:val="26"/>
          <w:rtl/>
        </w:rPr>
        <w:lastRenderedPageBreak/>
        <w:t>מודל 3, אשר מועד עלייתו על הכביש הוא מרץ 2023 (להלן- "</w:t>
      </w:r>
      <w:r>
        <w:rPr>
          <w:rFonts w:ascii="David" w:hAnsi="David" w:cs="David"/>
          <w:b/>
          <w:bCs/>
          <w:sz w:val="26"/>
          <w:szCs w:val="26"/>
          <w:rtl/>
        </w:rPr>
        <w:t>הרכב</w:t>
      </w:r>
      <w:r>
        <w:rPr>
          <w:rFonts w:ascii="David" w:hAnsi="David" w:cs="David"/>
          <w:sz w:val="26"/>
          <w:szCs w:val="26"/>
          <w:rtl/>
        </w:rPr>
        <w:t xml:space="preserve">"), ואשר נתפס על ידי פקיד השומה ביום 23.4.2023 על פי הוראות </w:t>
      </w:r>
      <w:r>
        <w:rPr>
          <w:rFonts w:ascii="David" w:hAnsi="David" w:cs="David"/>
          <w:b/>
          <w:bCs/>
          <w:sz w:val="26"/>
          <w:szCs w:val="26"/>
          <w:rtl/>
        </w:rPr>
        <w:t>פקודת המיסים (גבייה</w:t>
      </w:r>
      <w:r>
        <w:rPr>
          <w:rFonts w:ascii="David" w:hAnsi="David" w:cs="David"/>
          <w:sz w:val="26"/>
          <w:szCs w:val="26"/>
          <w:rtl/>
        </w:rPr>
        <w:t>).</w:t>
      </w:r>
    </w:p>
    <w:p w:rsidR="00EB6017" w:rsidRDefault="00EB6017" w:rsidP="007C09E2">
      <w:pPr>
        <w:pStyle w:val="ad"/>
        <w:numPr>
          <w:ilvl w:val="0"/>
          <w:numId w:val="1"/>
        </w:numPr>
        <w:spacing w:line="360" w:lineRule="auto"/>
        <w:jc w:val="both"/>
        <w:rPr>
          <w:rFonts w:ascii="David" w:hAnsi="David" w:cs="David"/>
          <w:sz w:val="26"/>
          <w:szCs w:val="26"/>
        </w:rPr>
      </w:pPr>
      <w:r>
        <w:rPr>
          <w:rFonts w:ascii="David" w:hAnsi="David" w:cs="David"/>
          <w:sz w:val="26"/>
          <w:szCs w:val="26"/>
          <w:rtl/>
        </w:rPr>
        <w:t>בבקשה פורט כי למבקש, עו"ד במקצועו, הוצג ביום 23.4.2023</w:t>
      </w:r>
      <w:r w:rsidR="007C09E2">
        <w:rPr>
          <w:rFonts w:ascii="David" w:hAnsi="David" w:cs="David" w:hint="cs"/>
          <w:sz w:val="26"/>
          <w:szCs w:val="26"/>
          <w:rtl/>
        </w:rPr>
        <w:t xml:space="preserve">, </w:t>
      </w:r>
      <w:r w:rsidR="007C09E2">
        <w:rPr>
          <w:rFonts w:ascii="David" w:hAnsi="David" w:cs="David"/>
          <w:sz w:val="26"/>
          <w:szCs w:val="26"/>
          <w:rtl/>
        </w:rPr>
        <w:t>בשעת בוקר מוקדמת</w:t>
      </w:r>
      <w:r w:rsidR="007C09E2">
        <w:rPr>
          <w:rFonts w:ascii="David" w:hAnsi="David" w:cs="David" w:hint="cs"/>
          <w:sz w:val="26"/>
          <w:szCs w:val="26"/>
          <w:rtl/>
        </w:rPr>
        <w:t>,</w:t>
      </w:r>
      <w:r>
        <w:rPr>
          <w:rFonts w:ascii="David" w:hAnsi="David" w:cs="David"/>
          <w:sz w:val="26"/>
          <w:szCs w:val="26"/>
          <w:rtl/>
        </w:rPr>
        <w:t xml:space="preserve"> כתב הרשאה לתפיסת הרכב, בגין חובות מס הכנסה ומע"מ. צוין כי המבקש הסכים לביצוע העיקול, כדי למנוע טראומה מילדיו שהיו נוכחים ברכב, ועל כן נהג את הרכב בעצמו למגרש ייעודי המצוי בעיר אשדוד. </w:t>
      </w:r>
    </w:p>
    <w:p w:rsidR="00EB6017" w:rsidRDefault="00EB6017" w:rsidP="00EB6017">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פורט בבקשה כי עוד באותו יום ניתנה החלטת מנהל מס ערך מוסף על שחרור הרכב, בעוד שפקיד השומה סירב לשחרר את הרכב מבלי שיופקד סכום של 200,000 ₪ במזומן, בהעברה מידית או בהפקדת שיק בנקאי, חרף העובדה שחשבונות הבנק של המבקש עוקלו. </w:t>
      </w:r>
    </w:p>
    <w:p w:rsidR="00EB6017" w:rsidRDefault="00EB6017" w:rsidP="00EB6017">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המבקש פירט בבקשה כי יש לו יכולת כלכלית לפרוע את חובותיו, וכי בבעלותו נכסי נדל"ן: לרבות דירה בת 5 חדרים, וכן קוטג' בן 4 חדרים, אשר שווים הכולל הינו 5.5 מיליון ₪ לכל הפחות, ובניכוי משכנתא, 2.5 מיליון ₪ לכל הפחות.  </w:t>
      </w:r>
    </w:p>
    <w:p w:rsidR="00EB6017" w:rsidRDefault="00EB6017" w:rsidP="00EB6017">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בבקשה נטען כי הרכב הוא רכב משפחתי, המשמש כרכב ניידות לטובת נכה בשיעור של 100%, אף משמש להסעת שלושת ילדיו הקטינים של המבקש. הרכב נרכש במימון מלא מאת חברת מימון ישיר, כתחליף לרכב שהורד מהכביש בעקבות תאונה. פורט כי למיטב הבנתו של המבקש, מיד עם רישום הרכב על שמו, הוטל על הרכב עיקול לטובת פקיד השומה, אשר מנע רישום שיעבוד ברשם המשכונות להבטחת מימון עלות הרכב. המבקש הוסיף וטען כי לזכות הגורם המממן עומדת תקנת השוק, וכל תמורה שתתקבל במכירת הרכב תועבר לידי הגורם המממן כך שהמכירה לא </w:t>
      </w:r>
      <w:r w:rsidR="007C09E2">
        <w:rPr>
          <w:rFonts w:ascii="David" w:hAnsi="David" w:cs="David" w:hint="cs"/>
          <w:sz w:val="26"/>
          <w:szCs w:val="26"/>
          <w:rtl/>
        </w:rPr>
        <w:t>'</w:t>
      </w:r>
      <w:r>
        <w:rPr>
          <w:rFonts w:ascii="David" w:hAnsi="David" w:cs="David"/>
          <w:sz w:val="26"/>
          <w:szCs w:val="26"/>
          <w:rtl/>
        </w:rPr>
        <w:t>תיטיב</w:t>
      </w:r>
      <w:r w:rsidR="007C09E2">
        <w:rPr>
          <w:rFonts w:ascii="David" w:hAnsi="David" w:cs="David" w:hint="cs"/>
          <w:sz w:val="26"/>
          <w:szCs w:val="26"/>
          <w:rtl/>
        </w:rPr>
        <w:t>'</w:t>
      </w:r>
      <w:r>
        <w:rPr>
          <w:rFonts w:ascii="David" w:hAnsi="David" w:cs="David"/>
          <w:sz w:val="26"/>
          <w:szCs w:val="26"/>
          <w:rtl/>
        </w:rPr>
        <w:t xml:space="preserve"> עם פקיד השומה בעוד שהיא תגרום לנזק בלתי הפיך למבקש.</w:t>
      </w:r>
    </w:p>
    <w:p w:rsidR="00EB6017" w:rsidRDefault="00EB6017" w:rsidP="00EB6017">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המבקש הוסיף וטען כי מטרת העיקול הינה להבטיח תשלום חוב מס ועל כן ניתן להסתפק בעיקול ברישום, ואין מקום להורות על תפיסת הרכב. עוד טען, כי הציע </w:t>
      </w:r>
      <w:r w:rsidR="007C09E2">
        <w:rPr>
          <w:rFonts w:ascii="David" w:hAnsi="David" w:cs="David" w:hint="cs"/>
          <w:sz w:val="26"/>
          <w:szCs w:val="26"/>
          <w:rtl/>
        </w:rPr>
        <w:t xml:space="preserve">לפקיד השומה </w:t>
      </w:r>
      <w:r>
        <w:rPr>
          <w:rFonts w:ascii="David" w:hAnsi="David" w:cs="David"/>
          <w:sz w:val="26"/>
          <w:szCs w:val="26"/>
          <w:rtl/>
        </w:rPr>
        <w:t>למכור נכס נדל"ן מושכר, על מנת לפרוע את חוב המס, ואולם פקיד השומה השיב כי הסדר הגביה מבוטל בשל הימנעותו של המבקש מלפרוע את החוב, ועל כן צפוי הרכב להימכר.</w:t>
      </w:r>
    </w:p>
    <w:p w:rsidR="00EB6017" w:rsidRDefault="00EB6017" w:rsidP="00EB6017">
      <w:pPr>
        <w:pStyle w:val="ad"/>
        <w:numPr>
          <w:ilvl w:val="0"/>
          <w:numId w:val="1"/>
        </w:numPr>
        <w:spacing w:line="360" w:lineRule="auto"/>
        <w:jc w:val="both"/>
        <w:rPr>
          <w:rFonts w:ascii="David" w:hAnsi="David" w:cs="David"/>
          <w:sz w:val="26"/>
          <w:szCs w:val="26"/>
        </w:rPr>
      </w:pPr>
      <w:r>
        <w:rPr>
          <w:rFonts w:ascii="David" w:hAnsi="David" w:cs="David"/>
          <w:sz w:val="26"/>
          <w:szCs w:val="26"/>
          <w:rtl/>
        </w:rPr>
        <w:t>בבקשה נטען כי לבית משפט זה סמכות מקומית וסמכות עניינית לדון בבקשה.</w:t>
      </w:r>
    </w:p>
    <w:p w:rsidR="00EB6017" w:rsidRDefault="00EB6017" w:rsidP="00EB6017">
      <w:pPr>
        <w:pStyle w:val="ad"/>
        <w:numPr>
          <w:ilvl w:val="0"/>
          <w:numId w:val="1"/>
        </w:numPr>
        <w:spacing w:line="360" w:lineRule="auto"/>
        <w:jc w:val="both"/>
        <w:rPr>
          <w:rFonts w:ascii="David" w:hAnsi="David" w:cs="David"/>
          <w:sz w:val="26"/>
          <w:szCs w:val="26"/>
        </w:rPr>
      </w:pPr>
      <w:r>
        <w:rPr>
          <w:rFonts w:ascii="David" w:hAnsi="David" w:cs="David"/>
          <w:sz w:val="26"/>
          <w:szCs w:val="26"/>
          <w:rtl/>
        </w:rPr>
        <w:t>בית המשפט התבקש להורות על שחרור הרכב התפוס, תוך השארת עיקול ברישום על רישיון הרכב, על מנת להבטיח גבייה ולמנוע דיספוזיציה ברכב.</w:t>
      </w:r>
    </w:p>
    <w:p w:rsidR="00EB6017" w:rsidRDefault="00EB6017" w:rsidP="007C09E2">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הבקשה נתמכה בתצהירו של המבקש. כמו כן צורף לבקשה דוח עיקול רכב מיום 23.4.2023. </w:t>
      </w:r>
    </w:p>
    <w:p w:rsidR="00EB6017" w:rsidRDefault="00EB6017" w:rsidP="00EB6017">
      <w:pPr>
        <w:spacing w:line="360" w:lineRule="auto"/>
        <w:ind w:left="360"/>
        <w:rPr>
          <w:rFonts w:ascii="David" w:hAnsi="David"/>
          <w:b/>
          <w:bCs/>
          <w:sz w:val="26"/>
          <w:szCs w:val="26"/>
          <w:u w:val="single"/>
        </w:rPr>
      </w:pPr>
      <w:r>
        <w:rPr>
          <w:rFonts w:ascii="David" w:hAnsi="David"/>
          <w:b/>
          <w:bCs/>
          <w:sz w:val="26"/>
          <w:szCs w:val="26"/>
          <w:u w:val="single"/>
          <w:rtl/>
        </w:rPr>
        <w:lastRenderedPageBreak/>
        <w:t>התגובה</w:t>
      </w:r>
    </w:p>
    <w:p w:rsidR="00EB6017" w:rsidRDefault="00EB6017" w:rsidP="00275CFA">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פקיד השומה הגיש את תגובתו לבקשה ביום 4.6.2023, </w:t>
      </w:r>
      <w:r w:rsidR="00275CFA">
        <w:rPr>
          <w:rFonts w:ascii="David" w:hAnsi="David" w:cs="David" w:hint="cs"/>
          <w:sz w:val="26"/>
          <w:szCs w:val="26"/>
          <w:rtl/>
        </w:rPr>
        <w:t>וב</w:t>
      </w:r>
      <w:r>
        <w:rPr>
          <w:rFonts w:ascii="David" w:hAnsi="David" w:cs="David"/>
          <w:sz w:val="26"/>
          <w:szCs w:val="26"/>
          <w:rtl/>
        </w:rPr>
        <w:t>ין היתר</w:t>
      </w:r>
      <w:r w:rsidR="00275CFA">
        <w:rPr>
          <w:rFonts w:ascii="David" w:hAnsi="David" w:cs="David" w:hint="cs"/>
          <w:sz w:val="26"/>
          <w:szCs w:val="26"/>
          <w:rtl/>
        </w:rPr>
        <w:t xml:space="preserve"> התייחס בתגובתו</w:t>
      </w:r>
      <w:r>
        <w:rPr>
          <w:rFonts w:ascii="David" w:hAnsi="David" w:cs="David"/>
          <w:sz w:val="26"/>
          <w:szCs w:val="26"/>
          <w:rtl/>
        </w:rPr>
        <w:t xml:space="preserve"> גם להליך </w:t>
      </w:r>
      <w:r w:rsidR="00275CFA">
        <w:rPr>
          <w:rFonts w:ascii="David" w:hAnsi="David" w:cs="David" w:hint="cs"/>
          <w:sz w:val="26"/>
          <w:szCs w:val="26"/>
          <w:rtl/>
        </w:rPr>
        <w:t>שננקט</w:t>
      </w:r>
      <w:r>
        <w:rPr>
          <w:rFonts w:ascii="David" w:hAnsi="David" w:cs="David"/>
          <w:sz w:val="26"/>
          <w:szCs w:val="26"/>
          <w:rtl/>
        </w:rPr>
        <w:t>, ולסמכות בית משפט זה לדון בבקשה.</w:t>
      </w:r>
    </w:p>
    <w:p w:rsidR="00EB6017" w:rsidRDefault="00EB6017" w:rsidP="00DE4CEB">
      <w:pPr>
        <w:pStyle w:val="ad"/>
        <w:numPr>
          <w:ilvl w:val="0"/>
          <w:numId w:val="1"/>
        </w:numPr>
        <w:spacing w:line="360" w:lineRule="auto"/>
        <w:jc w:val="both"/>
        <w:rPr>
          <w:rFonts w:ascii="David" w:hAnsi="David" w:cs="David"/>
          <w:sz w:val="26"/>
          <w:szCs w:val="26"/>
        </w:rPr>
      </w:pPr>
      <w:r>
        <w:rPr>
          <w:rFonts w:ascii="David" w:hAnsi="David" w:cs="David"/>
          <w:sz w:val="26"/>
          <w:szCs w:val="26"/>
          <w:rtl/>
        </w:rPr>
        <w:t>בתגובה נטען כי ההליך אמנם נפתח כערעור מס, על החלטה לתפוס את הרכב ולמכור אותו לשם פירעון חוב המס, ואולם</w:t>
      </w:r>
      <w:r w:rsidR="00DE4CEB">
        <w:rPr>
          <w:rFonts w:ascii="David" w:hAnsi="David" w:cs="David" w:hint="cs"/>
          <w:sz w:val="26"/>
          <w:szCs w:val="26"/>
          <w:rtl/>
        </w:rPr>
        <w:t>, כך נטען,</w:t>
      </w:r>
      <w:r>
        <w:rPr>
          <w:rFonts w:ascii="David" w:hAnsi="David" w:cs="David"/>
          <w:sz w:val="26"/>
          <w:szCs w:val="26"/>
          <w:rtl/>
        </w:rPr>
        <w:t xml:space="preserve"> לא קיימת זכות ערעור על ההחלטה האמורה. עוד נטען כי ניתן להגיש ערעור</w:t>
      </w:r>
      <w:r w:rsidR="00DE4CEB">
        <w:rPr>
          <w:rFonts w:ascii="David" w:hAnsi="David" w:cs="David" w:hint="cs"/>
          <w:sz w:val="26"/>
          <w:szCs w:val="26"/>
          <w:rtl/>
        </w:rPr>
        <w:t xml:space="preserve"> מס</w:t>
      </w:r>
      <w:r>
        <w:rPr>
          <w:rFonts w:ascii="David" w:hAnsi="David" w:cs="David"/>
          <w:sz w:val="26"/>
          <w:szCs w:val="26"/>
          <w:rtl/>
        </w:rPr>
        <w:t xml:space="preserve"> מכוח הוראות מפורשות בלבד שנקבעו בפקודת מס הכנסה, אך לא ניתן להגיש ערעור מס על נקיטת פעולות גבייה </w:t>
      </w:r>
      <w:r w:rsidR="00DE4CEB">
        <w:rPr>
          <w:rFonts w:ascii="David" w:hAnsi="David" w:cs="David" w:hint="cs"/>
          <w:sz w:val="26"/>
          <w:szCs w:val="26"/>
          <w:rtl/>
        </w:rPr>
        <w:t xml:space="preserve">שננקטו </w:t>
      </w:r>
      <w:r>
        <w:rPr>
          <w:rFonts w:ascii="David" w:hAnsi="David" w:cs="David"/>
          <w:sz w:val="26"/>
          <w:szCs w:val="26"/>
          <w:rtl/>
        </w:rPr>
        <w:t xml:space="preserve">מכוח פקודת המיסים (גבייה). פקיד השומה הוסיף וטען כי לא נקבעה בפקודת המיסים (גבייה) הוראה בדבר אופן התקיפה של הליכי הגבייה המבוצעים מכוחה, ואולם הפרקטיקה העיקרית הנוהגת היא הגשת תובענה אזרחית למתן סעד הצהרתי נגד רשות המיסים. לפיכך, </w:t>
      </w:r>
      <w:r w:rsidR="00DE4CEB">
        <w:rPr>
          <w:rFonts w:ascii="David" w:hAnsi="David" w:cs="David" w:hint="cs"/>
          <w:sz w:val="26"/>
          <w:szCs w:val="26"/>
          <w:rtl/>
        </w:rPr>
        <w:t xml:space="preserve">כך </w:t>
      </w:r>
      <w:r>
        <w:rPr>
          <w:rFonts w:ascii="David" w:hAnsi="David" w:cs="David"/>
          <w:sz w:val="26"/>
          <w:szCs w:val="26"/>
          <w:rtl/>
        </w:rPr>
        <w:t>נטען</w:t>
      </w:r>
      <w:r w:rsidR="00DE4CEB">
        <w:rPr>
          <w:rFonts w:ascii="David" w:hAnsi="David" w:cs="David" w:hint="cs"/>
          <w:sz w:val="26"/>
          <w:szCs w:val="26"/>
          <w:rtl/>
        </w:rPr>
        <w:t>,</w:t>
      </w:r>
      <w:r>
        <w:rPr>
          <w:rFonts w:ascii="David" w:hAnsi="David" w:cs="David"/>
          <w:sz w:val="26"/>
          <w:szCs w:val="26"/>
          <w:rtl/>
        </w:rPr>
        <w:t xml:space="preserve"> לא קיימת לכאורה סמכות עניינית לדון בהליך זה.</w:t>
      </w:r>
    </w:p>
    <w:p w:rsidR="00EB6017" w:rsidRDefault="00EB6017" w:rsidP="00DE4CEB">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לגופו של עניין פירט פקיד השומה בתגובתו כי למבקש </w:t>
      </w:r>
      <w:r>
        <w:rPr>
          <w:rFonts w:ascii="David" w:hAnsi="David" w:cs="David"/>
          <w:b/>
          <w:bCs/>
          <w:sz w:val="26"/>
          <w:szCs w:val="26"/>
          <w:rtl/>
        </w:rPr>
        <w:t>חוב מס חלוט</w:t>
      </w:r>
      <w:r>
        <w:rPr>
          <w:rFonts w:ascii="David" w:hAnsi="David" w:cs="David"/>
          <w:sz w:val="26"/>
          <w:szCs w:val="26"/>
          <w:rtl/>
        </w:rPr>
        <w:t>, שמקורו</w:t>
      </w:r>
      <w:r w:rsidR="00DE4CEB">
        <w:rPr>
          <w:rFonts w:ascii="David" w:hAnsi="David" w:cs="David" w:hint="cs"/>
          <w:sz w:val="26"/>
          <w:szCs w:val="26"/>
          <w:rtl/>
        </w:rPr>
        <w:t>:</w:t>
      </w:r>
      <w:r>
        <w:rPr>
          <w:rFonts w:ascii="David" w:hAnsi="David" w:cs="David"/>
          <w:sz w:val="26"/>
          <w:szCs w:val="26"/>
          <w:rtl/>
        </w:rPr>
        <w:t xml:space="preserve"> בשומות שנקבעו על פי הסכם שומה מיום </w:t>
      </w:r>
      <w:r>
        <w:rPr>
          <w:rFonts w:ascii="David" w:hAnsi="David" w:cs="David"/>
          <w:b/>
          <w:bCs/>
          <w:sz w:val="26"/>
          <w:szCs w:val="26"/>
          <w:rtl/>
        </w:rPr>
        <w:t>30.5.22</w:t>
      </w:r>
      <w:r>
        <w:rPr>
          <w:rFonts w:ascii="David" w:hAnsi="David" w:cs="David"/>
          <w:sz w:val="26"/>
          <w:szCs w:val="26"/>
          <w:rtl/>
        </w:rPr>
        <w:t>, לשנים</w:t>
      </w:r>
      <w:r w:rsidR="00DE4CEB">
        <w:rPr>
          <w:rFonts w:ascii="David" w:hAnsi="David" w:cs="David" w:hint="cs"/>
          <w:sz w:val="26"/>
          <w:szCs w:val="26"/>
          <w:rtl/>
        </w:rPr>
        <w:t xml:space="preserve"> 2017-2019</w:t>
      </w:r>
      <w:r>
        <w:rPr>
          <w:rFonts w:ascii="David" w:hAnsi="David" w:cs="David"/>
          <w:sz w:val="26"/>
          <w:szCs w:val="26"/>
          <w:rtl/>
        </w:rPr>
        <w:t>, בסכום</w:t>
      </w:r>
      <w:r w:rsidR="00DE4CEB">
        <w:rPr>
          <w:rFonts w:ascii="David" w:hAnsi="David" w:cs="David"/>
          <w:sz w:val="26"/>
          <w:szCs w:val="26"/>
          <w:rtl/>
        </w:rPr>
        <w:t xml:space="preserve"> של 651,043 ₪ נכון ליום 24.5.23</w:t>
      </w:r>
      <w:r w:rsidR="00DE4CEB">
        <w:rPr>
          <w:rFonts w:ascii="David" w:hAnsi="David" w:cs="David" w:hint="cs"/>
          <w:sz w:val="26"/>
          <w:szCs w:val="26"/>
          <w:rtl/>
        </w:rPr>
        <w:t>;</w:t>
      </w:r>
      <w:r>
        <w:rPr>
          <w:rFonts w:ascii="David" w:hAnsi="David" w:cs="David"/>
          <w:sz w:val="26"/>
          <w:szCs w:val="26"/>
          <w:rtl/>
        </w:rPr>
        <w:t xml:space="preserve"> </w:t>
      </w:r>
      <w:r w:rsidR="00DE4CEB">
        <w:rPr>
          <w:rFonts w:ascii="David" w:hAnsi="David" w:cs="David" w:hint="cs"/>
          <w:sz w:val="26"/>
          <w:szCs w:val="26"/>
          <w:rtl/>
        </w:rPr>
        <w:t>ב</w:t>
      </w:r>
      <w:r>
        <w:rPr>
          <w:rFonts w:ascii="David" w:hAnsi="David" w:cs="David"/>
          <w:sz w:val="26"/>
          <w:szCs w:val="26"/>
          <w:rtl/>
        </w:rPr>
        <w:t>שומה עצמית לשנת 2</w:t>
      </w:r>
      <w:r w:rsidR="00DE4CEB">
        <w:rPr>
          <w:rFonts w:ascii="David" w:hAnsi="David" w:cs="David"/>
          <w:sz w:val="26"/>
          <w:szCs w:val="26"/>
          <w:rtl/>
        </w:rPr>
        <w:t>022</w:t>
      </w:r>
      <w:r w:rsidR="00DE4CEB">
        <w:rPr>
          <w:rFonts w:ascii="David" w:hAnsi="David" w:cs="David" w:hint="cs"/>
          <w:sz w:val="26"/>
          <w:szCs w:val="26"/>
          <w:rtl/>
        </w:rPr>
        <w:t>;</w:t>
      </w:r>
      <w:r>
        <w:rPr>
          <w:rFonts w:ascii="David" w:hAnsi="David" w:cs="David"/>
          <w:sz w:val="26"/>
          <w:szCs w:val="26"/>
          <w:rtl/>
        </w:rPr>
        <w:t xml:space="preserve"> ובחיוב </w:t>
      </w:r>
      <w:r w:rsidR="00E727FE">
        <w:rPr>
          <w:rFonts w:ascii="David" w:hAnsi="David" w:cs="David" w:hint="cs"/>
          <w:sz w:val="26"/>
          <w:szCs w:val="26"/>
          <w:rtl/>
        </w:rPr>
        <w:t xml:space="preserve">השבת </w:t>
      </w:r>
      <w:r>
        <w:rPr>
          <w:rFonts w:ascii="David" w:hAnsi="David" w:cs="David"/>
          <w:sz w:val="26"/>
          <w:szCs w:val="26"/>
          <w:rtl/>
        </w:rPr>
        <w:t xml:space="preserve">מענקי קורונה בסכום של 88,491 ₪. סך חובות המס של המבקש ליום 24.5.23 מסתכמים לסכום של </w:t>
      </w:r>
      <w:r>
        <w:rPr>
          <w:rFonts w:ascii="David" w:hAnsi="David" w:cs="David"/>
          <w:b/>
          <w:bCs/>
          <w:sz w:val="26"/>
          <w:szCs w:val="26"/>
          <w:rtl/>
        </w:rPr>
        <w:t>739,534</w:t>
      </w:r>
      <w:r>
        <w:rPr>
          <w:rFonts w:ascii="David" w:hAnsi="David" w:cs="David"/>
          <w:sz w:val="26"/>
          <w:szCs w:val="26"/>
          <w:rtl/>
        </w:rPr>
        <w:t xml:space="preserve"> ₪.</w:t>
      </w:r>
    </w:p>
    <w:p w:rsidR="00EB6017" w:rsidRDefault="00EB6017" w:rsidP="00EB6017">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פקיד השומה הפנה לכך שהמבקש לא חלק בבקשה על קיומו של </w:t>
      </w:r>
      <w:r w:rsidRPr="00E727FE">
        <w:rPr>
          <w:rFonts w:ascii="David" w:hAnsi="David" w:cs="David"/>
          <w:b/>
          <w:bCs/>
          <w:sz w:val="26"/>
          <w:szCs w:val="26"/>
          <w:rtl/>
        </w:rPr>
        <w:t>חוב מס חלוט</w:t>
      </w:r>
      <w:r>
        <w:rPr>
          <w:rFonts w:ascii="David" w:hAnsi="David" w:cs="David"/>
          <w:sz w:val="26"/>
          <w:szCs w:val="26"/>
          <w:rtl/>
        </w:rPr>
        <w:t xml:space="preserve"> הניתן לגבייה לפ</w:t>
      </w:r>
      <w:r w:rsidR="00E727FE">
        <w:rPr>
          <w:rFonts w:ascii="David" w:hAnsi="David" w:cs="David"/>
          <w:sz w:val="26"/>
          <w:szCs w:val="26"/>
          <w:rtl/>
        </w:rPr>
        <w:t xml:space="preserve">י פקודת המיסים (גבייה). כמו כן </w:t>
      </w:r>
      <w:r>
        <w:rPr>
          <w:rFonts w:ascii="David" w:hAnsi="David" w:cs="David"/>
          <w:sz w:val="26"/>
          <w:szCs w:val="26"/>
          <w:rtl/>
        </w:rPr>
        <w:t xml:space="preserve">טען כי אף שהמבקש הגיע להסכם שומה עם פקיד השומה, נמנע המבקש מלפרוע את חוב המס, וחלף הסדרת החוב בחר לרכוש את הרכב בעלות מוערכת של כ- 250,000 ₪. </w:t>
      </w:r>
    </w:p>
    <w:p w:rsidR="00EB6017" w:rsidRDefault="00EB6017" w:rsidP="00EB6017">
      <w:pPr>
        <w:pStyle w:val="ad"/>
        <w:numPr>
          <w:ilvl w:val="0"/>
          <w:numId w:val="1"/>
        </w:numPr>
        <w:spacing w:line="360" w:lineRule="auto"/>
        <w:jc w:val="both"/>
        <w:rPr>
          <w:rFonts w:ascii="David" w:hAnsi="David" w:cs="David"/>
          <w:sz w:val="26"/>
          <w:szCs w:val="26"/>
        </w:rPr>
      </w:pPr>
      <w:r>
        <w:rPr>
          <w:rFonts w:ascii="David" w:hAnsi="David" w:cs="David"/>
          <w:sz w:val="26"/>
          <w:szCs w:val="26"/>
          <w:rtl/>
        </w:rPr>
        <w:t>בתגובה פורט כי לאחר שהמבקש נמנע מלשלם את חוב המס הטיל פקיד השומה עיקולים על נכסיו, ובעקבות זאת הגיע המבקש, עוד באוגוסט 2022, להסדר גבייה עם פקיד השומה. בהתאם להסדר הגבייה נפרעו על חשבון חוב המס שלושה שיקים בלבד, בסך כולל של 180,525 ₪. כמו כן נפרעו ארבעה תשלומים בסכום כולל של 22,884 ₪ על חשבון השבת מענקי הקורונה. יתר סעיפי הסדר הגביה לא כובדו על ידי המבקש. בפברואר 2023, בעקבות הטלת עיקולים, הגיע המבקש פעם נוספת לפקיד השומה, ולבקשתו הוצעה לו פריסה של החוב. בהתאם להסדר פריסת החוב, מסר המבקש לפקיד השומה שיקים להבטחת תשלום חוב המס  מחשבון הנושא את השם "אלכס שוד בנאמנות", ואולם גם הסדר תשלומים זה לא כובד על ידי המבקש.</w:t>
      </w:r>
    </w:p>
    <w:p w:rsidR="00EB6017" w:rsidRDefault="00EB6017" w:rsidP="00E727FE">
      <w:pPr>
        <w:pStyle w:val="ad"/>
        <w:numPr>
          <w:ilvl w:val="0"/>
          <w:numId w:val="1"/>
        </w:numPr>
        <w:spacing w:line="360" w:lineRule="auto"/>
        <w:jc w:val="both"/>
        <w:rPr>
          <w:rFonts w:ascii="David" w:hAnsi="David" w:cs="David"/>
          <w:sz w:val="26"/>
          <w:szCs w:val="26"/>
        </w:rPr>
      </w:pPr>
      <w:r>
        <w:rPr>
          <w:rFonts w:ascii="David" w:hAnsi="David" w:cs="David"/>
          <w:sz w:val="26"/>
          <w:szCs w:val="26"/>
          <w:rtl/>
        </w:rPr>
        <w:lastRenderedPageBreak/>
        <w:t xml:space="preserve">בעקבות הפרת הסדר התשלומים מפברואר 2023, </w:t>
      </w:r>
      <w:r w:rsidR="00E727FE">
        <w:rPr>
          <w:rFonts w:ascii="David" w:hAnsi="David" w:cs="David" w:hint="cs"/>
          <w:sz w:val="26"/>
          <w:szCs w:val="26"/>
          <w:rtl/>
        </w:rPr>
        <w:t>הורה</w:t>
      </w:r>
      <w:r>
        <w:rPr>
          <w:rFonts w:ascii="David" w:hAnsi="David" w:cs="David"/>
          <w:sz w:val="26"/>
          <w:szCs w:val="26"/>
          <w:rtl/>
        </w:rPr>
        <w:t xml:space="preserve"> פקיד השומה </w:t>
      </w:r>
      <w:r w:rsidR="00E727FE">
        <w:rPr>
          <w:rFonts w:ascii="David" w:hAnsi="David" w:cs="David" w:hint="cs"/>
          <w:sz w:val="26"/>
          <w:szCs w:val="26"/>
          <w:rtl/>
        </w:rPr>
        <w:t xml:space="preserve">ביום </w:t>
      </w:r>
      <w:r w:rsidR="00E727FE">
        <w:rPr>
          <w:rFonts w:ascii="David" w:hAnsi="David" w:cs="David"/>
          <w:sz w:val="26"/>
          <w:szCs w:val="26"/>
          <w:rtl/>
        </w:rPr>
        <w:t>23.4.23</w:t>
      </w:r>
      <w:r w:rsidR="00E727FE">
        <w:rPr>
          <w:rFonts w:ascii="David" w:hAnsi="David" w:cs="David" w:hint="cs"/>
          <w:sz w:val="26"/>
          <w:szCs w:val="26"/>
          <w:rtl/>
        </w:rPr>
        <w:t xml:space="preserve">, </w:t>
      </w:r>
      <w:r>
        <w:rPr>
          <w:rFonts w:ascii="David" w:hAnsi="David" w:cs="David"/>
          <w:sz w:val="26"/>
          <w:szCs w:val="26"/>
          <w:rtl/>
        </w:rPr>
        <w:t xml:space="preserve">על תפיסת הרכב בהתאם לסעיף 5 (4) בפקודת המיסים (גבייה). בד בבד נתפס גם רכב טסלה המצוי בבעלות אשתו של המבקש, אשר נרכש </w:t>
      </w:r>
      <w:r w:rsidR="00E727FE">
        <w:rPr>
          <w:rFonts w:ascii="David" w:hAnsi="David" w:cs="David" w:hint="cs"/>
          <w:sz w:val="26"/>
          <w:szCs w:val="26"/>
          <w:rtl/>
        </w:rPr>
        <w:t xml:space="preserve">עוד </w:t>
      </w:r>
      <w:r>
        <w:rPr>
          <w:rFonts w:ascii="David" w:hAnsi="David" w:cs="David"/>
          <w:sz w:val="26"/>
          <w:szCs w:val="26"/>
          <w:rtl/>
        </w:rPr>
        <w:t>ביום 28.5.21 (להלן- "</w:t>
      </w:r>
      <w:r>
        <w:rPr>
          <w:rFonts w:ascii="David" w:hAnsi="David" w:cs="David"/>
          <w:b/>
          <w:bCs/>
          <w:sz w:val="26"/>
          <w:szCs w:val="26"/>
          <w:rtl/>
        </w:rPr>
        <w:t>רכב בת הזוג</w:t>
      </w:r>
      <w:r>
        <w:rPr>
          <w:rFonts w:ascii="David" w:hAnsi="David" w:cs="David"/>
          <w:sz w:val="26"/>
          <w:szCs w:val="26"/>
          <w:rtl/>
        </w:rPr>
        <w:t xml:space="preserve">"). </w:t>
      </w:r>
    </w:p>
    <w:p w:rsidR="00EB6017" w:rsidRDefault="00EB6017" w:rsidP="00EB6017">
      <w:pPr>
        <w:pStyle w:val="ad"/>
        <w:numPr>
          <w:ilvl w:val="0"/>
          <w:numId w:val="1"/>
        </w:numPr>
        <w:spacing w:line="360" w:lineRule="auto"/>
        <w:jc w:val="both"/>
        <w:rPr>
          <w:rFonts w:ascii="David" w:hAnsi="David" w:cs="David"/>
          <w:sz w:val="26"/>
          <w:szCs w:val="26"/>
        </w:rPr>
      </w:pPr>
      <w:r>
        <w:rPr>
          <w:rFonts w:ascii="David" w:hAnsi="David" w:cs="David"/>
          <w:sz w:val="26"/>
          <w:szCs w:val="26"/>
          <w:rtl/>
        </w:rPr>
        <w:t>בעקבות תפיסת שני הרכבים פנה המבקש פעם נוספת לפקיד השומה, והגיע להסדר תשלומים חדש, שלפיו ישוחרר רכב בת הזוג בלבד, וזאת בתמורה לתשלומים הבאים: שיק מזומן בסכום של 200,000 ₪, אשר ישולם במועד שחרור רכב בת הזוג; תשלום שני בסכום של 100,000 ₪, אשר ישולם באמצעות שיק שמועד פירעונו ביום 14.5.23; יתרת חוב המס תשולם בפריסה לתשלומים.</w:t>
      </w:r>
    </w:p>
    <w:p w:rsidR="00EB6017" w:rsidRDefault="00EB6017" w:rsidP="004E6C7D">
      <w:pPr>
        <w:pStyle w:val="ad"/>
        <w:numPr>
          <w:ilvl w:val="0"/>
          <w:numId w:val="1"/>
        </w:numPr>
        <w:spacing w:line="360" w:lineRule="auto"/>
        <w:jc w:val="both"/>
        <w:rPr>
          <w:rFonts w:ascii="David" w:hAnsi="David" w:cs="David"/>
          <w:sz w:val="26"/>
          <w:szCs w:val="26"/>
        </w:rPr>
      </w:pPr>
      <w:r>
        <w:rPr>
          <w:rFonts w:ascii="David" w:hAnsi="David" w:cs="David"/>
          <w:sz w:val="26"/>
          <w:szCs w:val="26"/>
          <w:rtl/>
        </w:rPr>
        <w:t>בהתאם להסדר האמור, שיחרר פקיד השומה את רכב בת הזוג ביום 27.4.23, ואולם חרף הבטחת המבקש לכבד את הסדר התשלומים החדש, ההסדר לא כובד</w:t>
      </w:r>
      <w:r w:rsidR="004E6C7D">
        <w:rPr>
          <w:rFonts w:ascii="David" w:hAnsi="David" w:cs="David" w:hint="cs"/>
          <w:sz w:val="26"/>
          <w:szCs w:val="26"/>
          <w:rtl/>
        </w:rPr>
        <w:t xml:space="preserve">, וגם </w:t>
      </w:r>
      <w:r w:rsidRPr="004E6C7D">
        <w:rPr>
          <w:rFonts w:ascii="David" w:hAnsi="David" w:cs="David"/>
          <w:sz w:val="26"/>
          <w:szCs w:val="26"/>
          <w:rtl/>
        </w:rPr>
        <w:t>השיק הראשון</w:t>
      </w:r>
      <w:r w:rsidR="004E6C7D">
        <w:rPr>
          <w:rFonts w:ascii="David" w:hAnsi="David" w:cs="David" w:hint="cs"/>
          <w:sz w:val="26"/>
          <w:szCs w:val="26"/>
          <w:rtl/>
        </w:rPr>
        <w:t>,</w:t>
      </w:r>
      <w:r w:rsidRPr="004E6C7D">
        <w:rPr>
          <w:rFonts w:ascii="David" w:hAnsi="David" w:cs="David"/>
          <w:sz w:val="26"/>
          <w:szCs w:val="26"/>
          <w:rtl/>
        </w:rPr>
        <w:t xml:space="preserve"> על סך 200,000 ₪</w:t>
      </w:r>
      <w:r w:rsidR="004E6C7D">
        <w:rPr>
          <w:rFonts w:ascii="David" w:hAnsi="David" w:cs="David" w:hint="cs"/>
          <w:sz w:val="26"/>
          <w:szCs w:val="26"/>
          <w:rtl/>
        </w:rPr>
        <w:t>, לא נפרע</w:t>
      </w:r>
      <w:r w:rsidRPr="004E6C7D">
        <w:rPr>
          <w:rFonts w:ascii="David" w:hAnsi="David" w:cs="David"/>
          <w:sz w:val="26"/>
          <w:szCs w:val="26"/>
          <w:rtl/>
        </w:rPr>
        <w:t xml:space="preserve">. </w:t>
      </w:r>
      <w:r w:rsidR="00857596" w:rsidRPr="004E6C7D">
        <w:rPr>
          <w:rFonts w:ascii="David" w:hAnsi="David" w:cs="David" w:hint="cs"/>
          <w:sz w:val="26"/>
          <w:szCs w:val="26"/>
          <w:rtl/>
        </w:rPr>
        <w:t>גם לאחר ש</w:t>
      </w:r>
      <w:r w:rsidRPr="004E6C7D">
        <w:rPr>
          <w:rFonts w:ascii="David" w:hAnsi="David" w:cs="David"/>
          <w:sz w:val="26"/>
          <w:szCs w:val="26"/>
          <w:rtl/>
        </w:rPr>
        <w:t xml:space="preserve">פקיד השומה </w:t>
      </w:r>
      <w:r w:rsidR="00857596" w:rsidRPr="004E6C7D">
        <w:rPr>
          <w:rFonts w:ascii="David" w:hAnsi="David" w:cs="David" w:hint="cs"/>
          <w:sz w:val="26"/>
          <w:szCs w:val="26"/>
          <w:rtl/>
        </w:rPr>
        <w:t>ה</w:t>
      </w:r>
      <w:r w:rsidR="004E6C7D">
        <w:rPr>
          <w:rFonts w:ascii="David" w:hAnsi="David" w:cs="David" w:hint="cs"/>
          <w:sz w:val="26"/>
          <w:szCs w:val="26"/>
          <w:rtl/>
        </w:rPr>
        <w:t>פנה את</w:t>
      </w:r>
      <w:r w:rsidRPr="004E6C7D">
        <w:rPr>
          <w:rFonts w:ascii="David" w:hAnsi="David" w:cs="David"/>
          <w:sz w:val="26"/>
          <w:szCs w:val="26"/>
          <w:rtl/>
        </w:rPr>
        <w:t xml:space="preserve"> </w:t>
      </w:r>
      <w:r w:rsidR="004E6C7D">
        <w:rPr>
          <w:rFonts w:ascii="David" w:hAnsi="David" w:cs="David" w:hint="cs"/>
          <w:sz w:val="26"/>
          <w:szCs w:val="26"/>
          <w:rtl/>
        </w:rPr>
        <w:t>ה</w:t>
      </w:r>
      <w:r w:rsidRPr="004E6C7D">
        <w:rPr>
          <w:rFonts w:ascii="David" w:hAnsi="David" w:cs="David"/>
          <w:sz w:val="26"/>
          <w:szCs w:val="26"/>
          <w:rtl/>
        </w:rPr>
        <w:t xml:space="preserve">מבקש בדוא"ל לכך שהשיק </w:t>
      </w:r>
      <w:r w:rsidR="004E6C7D">
        <w:rPr>
          <w:rFonts w:ascii="David" w:hAnsi="David" w:cs="David" w:hint="cs"/>
          <w:sz w:val="26"/>
          <w:szCs w:val="26"/>
          <w:rtl/>
        </w:rPr>
        <w:t xml:space="preserve">הראשון </w:t>
      </w:r>
      <w:r w:rsidRPr="004E6C7D">
        <w:rPr>
          <w:rFonts w:ascii="David" w:hAnsi="David" w:cs="David"/>
          <w:sz w:val="26"/>
          <w:szCs w:val="26"/>
          <w:rtl/>
        </w:rPr>
        <w:t>לא כובד</w:t>
      </w:r>
      <w:r w:rsidR="00857596" w:rsidRPr="004E6C7D">
        <w:rPr>
          <w:rFonts w:ascii="David" w:hAnsi="David" w:cs="David" w:hint="cs"/>
          <w:sz w:val="26"/>
          <w:szCs w:val="26"/>
          <w:rtl/>
        </w:rPr>
        <w:t>, ו</w:t>
      </w:r>
      <w:r w:rsidRPr="004E6C7D">
        <w:rPr>
          <w:rFonts w:ascii="David" w:hAnsi="David" w:cs="David"/>
          <w:sz w:val="26"/>
          <w:szCs w:val="26"/>
          <w:rtl/>
        </w:rPr>
        <w:t>חרף הבטחתו של המבקש להסדיר את התשלום באופן מיידי, התשלום לא שולם.</w:t>
      </w:r>
    </w:p>
    <w:p w:rsidR="00EB6017" w:rsidRPr="007A5107" w:rsidRDefault="00EB6017" w:rsidP="007A5107">
      <w:pPr>
        <w:pStyle w:val="ad"/>
        <w:numPr>
          <w:ilvl w:val="0"/>
          <w:numId w:val="1"/>
        </w:numPr>
        <w:spacing w:line="360" w:lineRule="auto"/>
        <w:jc w:val="both"/>
        <w:rPr>
          <w:rFonts w:ascii="David" w:hAnsi="David" w:cs="David"/>
          <w:sz w:val="26"/>
          <w:szCs w:val="26"/>
        </w:rPr>
      </w:pPr>
      <w:r w:rsidRPr="007A5107">
        <w:rPr>
          <w:rFonts w:ascii="David" w:hAnsi="David" w:cs="David"/>
          <w:sz w:val="26"/>
          <w:szCs w:val="26"/>
          <w:rtl/>
        </w:rPr>
        <w:t>לאחר שפקיד השומה שלח למבקש דוא"ל נוסף, שבגדרו התריע על אי פירעון התשלום,  שלח המבקש אל פקיד השומה צילום של "</w:t>
      </w:r>
      <w:r w:rsidRPr="007A5107">
        <w:rPr>
          <w:rFonts w:ascii="David" w:hAnsi="David" w:cs="David"/>
          <w:b/>
          <w:bCs/>
          <w:sz w:val="26"/>
          <w:szCs w:val="26"/>
          <w:rtl/>
        </w:rPr>
        <w:t>קבלה לתשלום בבנק הדואר</w:t>
      </w:r>
      <w:r w:rsidRPr="007A5107">
        <w:rPr>
          <w:rFonts w:ascii="David" w:hAnsi="David" w:cs="David"/>
          <w:sz w:val="26"/>
          <w:szCs w:val="26"/>
          <w:rtl/>
        </w:rPr>
        <w:t>", וטען כי שילם תשלום ע"ס של 200,000 ₪. בצילום הוסתר המקום המיועד לחותמת בנק הדואר (המעידה על ביצוע התשלום), ופקיד השומה ציין בתגובתו כי לא זו בלבד שאין בידיו כל ראיה לכך שהתשלום אכן בוצע, המבקש כלל לא טען בבקשתו כי שילם את התשלום בסך של 200,000 ₪.</w:t>
      </w:r>
    </w:p>
    <w:p w:rsidR="00EB6017" w:rsidRDefault="00EB6017" w:rsidP="00EB6017">
      <w:pPr>
        <w:pStyle w:val="ad"/>
        <w:numPr>
          <w:ilvl w:val="0"/>
          <w:numId w:val="1"/>
        </w:numPr>
        <w:spacing w:line="360" w:lineRule="auto"/>
        <w:jc w:val="both"/>
        <w:rPr>
          <w:rFonts w:ascii="David" w:hAnsi="David" w:cs="David"/>
          <w:sz w:val="26"/>
          <w:szCs w:val="26"/>
        </w:rPr>
      </w:pPr>
      <w:r>
        <w:rPr>
          <w:rFonts w:ascii="David" w:hAnsi="David" w:cs="David"/>
          <w:sz w:val="26"/>
          <w:szCs w:val="26"/>
          <w:rtl/>
        </w:rPr>
        <w:t>גם השיק השני, על סך של 100,000 ₪, אשר נמסר לפקיד השומה בהתאם להסדר התשלומים, ואשר מועד פירעונו ביום 14.5.2023, לא כובד.</w:t>
      </w:r>
    </w:p>
    <w:p w:rsidR="00EB6017" w:rsidRDefault="00EB6017" w:rsidP="00EB6017">
      <w:pPr>
        <w:pStyle w:val="ad"/>
        <w:numPr>
          <w:ilvl w:val="0"/>
          <w:numId w:val="1"/>
        </w:numPr>
        <w:spacing w:line="360" w:lineRule="auto"/>
        <w:jc w:val="both"/>
        <w:rPr>
          <w:rFonts w:ascii="David" w:hAnsi="David" w:cs="David"/>
          <w:sz w:val="26"/>
          <w:szCs w:val="26"/>
        </w:rPr>
      </w:pPr>
      <w:r>
        <w:rPr>
          <w:rFonts w:ascii="David" w:hAnsi="David" w:cs="David"/>
          <w:sz w:val="26"/>
          <w:szCs w:val="26"/>
          <w:rtl/>
        </w:rPr>
        <w:t>פקיד השומה הדגיש כי הסדר התשלומים שלא כובד על ידי המבקש היה הסדר תשלומים לשחרור רכב בת הזוג, וגם אילו היה המבקש מכבד את ההסדר, ופורע את התשלומים האמורים, לא היה בכך בכדי להביא לשחרור הרכב נושא הבקשה. כמו כן הדגיש כי רכב בת הזוג אינו תפוס על ידי פקיד השומה, והוא פנוי לשימוש בני משפחתו של המבקש.</w:t>
      </w:r>
    </w:p>
    <w:p w:rsidR="00EB6017" w:rsidRDefault="00EB6017" w:rsidP="00EB6017">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פקיד השומה טען כי אין די בעיקולים ברישום להבטחת תשלום החוב, ואין מקום להסתמך על הבטחתו של המבקש למכור נכס אחר מנכסיו לצורך פירעון חובותיו, במיוחד בשעה שההסדרים הקודמים שנערכו עם המבקש, פעם אחר פעם, לא כובדו.  חמור מכך, כך נטען, המבקש ניסה להציג מצג שלפיו שילם לכאורה את התשלום </w:t>
      </w:r>
      <w:r>
        <w:rPr>
          <w:rFonts w:ascii="David" w:hAnsi="David" w:cs="David"/>
          <w:sz w:val="26"/>
          <w:szCs w:val="26"/>
          <w:rtl/>
        </w:rPr>
        <w:lastRenderedPageBreak/>
        <w:t xml:space="preserve">הראשון על פי הסדר התשלומים לשחרור רכב בת הזוג, בסך של 200,000 ₪, בשעה שאף אחד מהתשלומים על פי ההסדר לשחרור רכב בת הזוג לא שולם. </w:t>
      </w:r>
    </w:p>
    <w:p w:rsidR="00EB6017" w:rsidRDefault="00EB6017" w:rsidP="00EB6017">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אשר לזכויותיה לכאורה של חברת המימון – טען פקיד השומה כי בהתאם לרישומים שבמרשמי פקיד השומה, אין לחברה שיעבוד על הרכב, ועל כל פנים, ככל שקיימות זכויות שיעבוד, הן נשמרות. </w:t>
      </w:r>
    </w:p>
    <w:p w:rsidR="00EB6017" w:rsidRDefault="00EB6017" w:rsidP="00EB6017">
      <w:pPr>
        <w:spacing w:line="360" w:lineRule="auto"/>
        <w:ind w:left="360"/>
        <w:jc w:val="both"/>
        <w:rPr>
          <w:rFonts w:ascii="David" w:hAnsi="David"/>
          <w:b/>
          <w:bCs/>
          <w:sz w:val="26"/>
          <w:szCs w:val="26"/>
          <w:u w:val="single"/>
        </w:rPr>
      </w:pPr>
      <w:r>
        <w:rPr>
          <w:rFonts w:ascii="David" w:hAnsi="David"/>
          <w:b/>
          <w:bCs/>
          <w:sz w:val="26"/>
          <w:szCs w:val="26"/>
          <w:u w:val="single"/>
          <w:rtl/>
        </w:rPr>
        <w:t>התגובה לתגובה</w:t>
      </w:r>
    </w:p>
    <w:p w:rsidR="00EB6017" w:rsidRDefault="00EB6017" w:rsidP="00EB6017">
      <w:pPr>
        <w:pStyle w:val="ad"/>
        <w:numPr>
          <w:ilvl w:val="0"/>
          <w:numId w:val="1"/>
        </w:numPr>
        <w:spacing w:line="360" w:lineRule="auto"/>
        <w:jc w:val="both"/>
        <w:rPr>
          <w:rFonts w:ascii="David" w:hAnsi="David" w:cs="David"/>
          <w:sz w:val="26"/>
          <w:szCs w:val="26"/>
        </w:rPr>
      </w:pPr>
      <w:r>
        <w:rPr>
          <w:rFonts w:ascii="David" w:hAnsi="David" w:cs="David"/>
          <w:sz w:val="26"/>
          <w:szCs w:val="26"/>
          <w:rtl/>
        </w:rPr>
        <w:t>בתגובה שהגיש המבקש לתגובת פקיד השומה, טען המבקש כי בקשתו הוגשה נגד החלטות מנהליות של מחלקת הגביה בפקיד השומה, הבאות לידי ביטוי בהליכי גביה בלתי מידתיים, שבגדרם עוקל ונתפס רכבו, אף ננקטים הליכים למימוש העיקול באמצעות מכירתו של הרכב.</w:t>
      </w:r>
    </w:p>
    <w:p w:rsidR="00EB6017" w:rsidRDefault="00EB6017" w:rsidP="00EB6017">
      <w:pPr>
        <w:pStyle w:val="ad"/>
        <w:numPr>
          <w:ilvl w:val="0"/>
          <w:numId w:val="1"/>
        </w:numPr>
        <w:spacing w:line="360" w:lineRule="auto"/>
        <w:jc w:val="both"/>
        <w:rPr>
          <w:rFonts w:ascii="David" w:hAnsi="David" w:cs="David"/>
          <w:sz w:val="26"/>
          <w:szCs w:val="26"/>
        </w:rPr>
      </w:pPr>
      <w:r>
        <w:rPr>
          <w:rFonts w:ascii="David" w:hAnsi="David" w:cs="David"/>
          <w:sz w:val="26"/>
          <w:szCs w:val="26"/>
          <w:rtl/>
        </w:rPr>
        <w:t>לעניין הסמכות טען המבקש כי הואיל ומדובר בעתירה כנגד החלטות מנהליות של הרשות, דין התובענה להתברר בבית המשפט המחוזי בבאר-שבע.</w:t>
      </w:r>
    </w:p>
    <w:p w:rsidR="00EB6017" w:rsidRDefault="00EB6017" w:rsidP="00EB6017">
      <w:pPr>
        <w:pStyle w:val="ad"/>
        <w:numPr>
          <w:ilvl w:val="0"/>
          <w:numId w:val="1"/>
        </w:numPr>
        <w:spacing w:line="360" w:lineRule="auto"/>
        <w:jc w:val="both"/>
        <w:rPr>
          <w:rFonts w:ascii="David" w:hAnsi="David" w:cs="David"/>
          <w:sz w:val="26"/>
          <w:szCs w:val="26"/>
        </w:rPr>
      </w:pPr>
      <w:r>
        <w:rPr>
          <w:rFonts w:ascii="David" w:hAnsi="David" w:cs="David"/>
          <w:sz w:val="26"/>
          <w:szCs w:val="26"/>
          <w:rtl/>
        </w:rPr>
        <w:t>אשר לחוב המס טען המבקש כי ההסדר המקורי בוטל עקב אי כיבוד שיקים על ידי הבנק מסיבה טכנית, ולא עקב אי כיסוי מספיק. נטען כי המבקש העמיד בטוחה סולידית לתשלום מלוא החוב, ואף החל במימוש עצמי של נכס מקרקעין על מנת לשלם את החוב לאלתר. נטען כי העיקול ברישום מהווה 'בטוחה סולידית' לתשלום החוב, אף נטען כי מכירת הרכב התפוס מהווה פגיעה בלתי מידתית בזכויות המבקש, שכן מדובר ברכב שנקנה במימון מלא מאת חברה מימון ישיר, ומכירת הרכב תגרום להפרה יסודית של ההסכם בין המבקש לבין חברת מימון ישיר.</w:t>
      </w:r>
    </w:p>
    <w:p w:rsidR="00EB6017" w:rsidRDefault="00EB6017" w:rsidP="00EB6017">
      <w:pPr>
        <w:pStyle w:val="ad"/>
        <w:numPr>
          <w:ilvl w:val="0"/>
          <w:numId w:val="1"/>
        </w:numPr>
        <w:spacing w:line="360" w:lineRule="auto"/>
        <w:jc w:val="both"/>
        <w:rPr>
          <w:rFonts w:ascii="David" w:hAnsi="David" w:cs="David"/>
          <w:sz w:val="26"/>
          <w:szCs w:val="26"/>
        </w:rPr>
      </w:pPr>
      <w:r>
        <w:rPr>
          <w:rFonts w:ascii="David" w:hAnsi="David" w:cs="David"/>
          <w:sz w:val="26"/>
          <w:szCs w:val="26"/>
          <w:rtl/>
        </w:rPr>
        <w:t>המבקש הוסיף וטען כי הוא "הגדיל ראש" ופדה את כל קופות הפנסיה שלו ושל אשתו, על מנת לפרוע את חוב המס, ובתוך מספר ימים יעבירם לידי פקיד השומה.</w:t>
      </w:r>
    </w:p>
    <w:p w:rsidR="00EB6017" w:rsidRDefault="00EB6017" w:rsidP="00EB6017">
      <w:pPr>
        <w:pStyle w:val="ad"/>
        <w:numPr>
          <w:ilvl w:val="0"/>
          <w:numId w:val="1"/>
        </w:numPr>
        <w:spacing w:line="360" w:lineRule="auto"/>
        <w:jc w:val="both"/>
        <w:rPr>
          <w:rFonts w:ascii="David" w:hAnsi="David" w:cs="David"/>
          <w:sz w:val="26"/>
          <w:szCs w:val="26"/>
        </w:rPr>
      </w:pPr>
      <w:r>
        <w:rPr>
          <w:rFonts w:ascii="David" w:hAnsi="David" w:cs="David"/>
          <w:sz w:val="26"/>
          <w:szCs w:val="26"/>
          <w:rtl/>
        </w:rPr>
        <w:t>לתגובה לא צורף תצהיר לאימות הטענות העובדתיות, אף לא צורפו מסמכים כלשהם, המעידים על פירעון קופות גמל, או על נקיטת הליכים למכירת נכס מקרקעין.</w:t>
      </w:r>
    </w:p>
    <w:p w:rsidR="00EB6017" w:rsidRDefault="00EB6017" w:rsidP="00EB6017">
      <w:pPr>
        <w:spacing w:line="360" w:lineRule="auto"/>
        <w:jc w:val="both"/>
        <w:rPr>
          <w:rFonts w:ascii="David" w:hAnsi="David"/>
          <w:b/>
          <w:bCs/>
          <w:sz w:val="26"/>
          <w:szCs w:val="26"/>
          <w:u w:val="single"/>
        </w:rPr>
      </w:pPr>
      <w:r>
        <w:rPr>
          <w:rFonts w:ascii="David" w:hAnsi="David"/>
          <w:b/>
          <w:bCs/>
          <w:sz w:val="26"/>
          <w:szCs w:val="26"/>
          <w:u w:val="single"/>
          <w:rtl/>
        </w:rPr>
        <w:t>דיון והכרעה</w:t>
      </w:r>
    </w:p>
    <w:p w:rsidR="00EB6017" w:rsidRDefault="00EB6017" w:rsidP="00EB6017">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פקודת מס הכנסה קובעת באופן מפורש מהן החלטות פקיד השומה (או המנהל) שעליהן רשאי נישום להגיש ערעור לבית המשפט המחוזי. </w:t>
      </w:r>
      <w:r w:rsidR="007A5107">
        <w:rPr>
          <w:rFonts w:ascii="David" w:hAnsi="David" w:cs="David"/>
          <w:sz w:val="26"/>
          <w:szCs w:val="26"/>
          <w:rtl/>
        </w:rPr>
        <w:t xml:space="preserve">מרבית ההחלטות הן  בענייני שומה </w:t>
      </w:r>
      <w:r>
        <w:rPr>
          <w:rFonts w:ascii="David" w:hAnsi="David" w:cs="David"/>
          <w:sz w:val="26"/>
          <w:szCs w:val="26"/>
          <w:rtl/>
        </w:rPr>
        <w:t xml:space="preserve">ומיעוטן </w:t>
      </w:r>
      <w:r w:rsidR="007A5107">
        <w:rPr>
          <w:rFonts w:ascii="David" w:hAnsi="David" w:cs="David" w:hint="cs"/>
          <w:sz w:val="26"/>
          <w:szCs w:val="26"/>
          <w:rtl/>
        </w:rPr>
        <w:t xml:space="preserve">הן </w:t>
      </w:r>
      <w:r>
        <w:rPr>
          <w:rFonts w:ascii="David" w:hAnsi="David" w:cs="David"/>
          <w:sz w:val="26"/>
          <w:szCs w:val="26"/>
          <w:rtl/>
        </w:rPr>
        <w:t xml:space="preserve">בענייני גביה </w:t>
      </w:r>
      <w:r w:rsidR="007A5107">
        <w:rPr>
          <w:rFonts w:ascii="David" w:hAnsi="David" w:cs="David" w:hint="cs"/>
          <w:sz w:val="26"/>
          <w:szCs w:val="26"/>
          <w:rtl/>
        </w:rPr>
        <w:t>(</w:t>
      </w:r>
      <w:r>
        <w:rPr>
          <w:rFonts w:ascii="David" w:hAnsi="David" w:cs="David"/>
          <w:sz w:val="26"/>
          <w:szCs w:val="26"/>
          <w:rtl/>
        </w:rPr>
        <w:t xml:space="preserve">דוגמת סעיף 119 א' בפקודת מס הכנסה המקנה זכות ערעור לבית המשפט המחוזי, וכן סעיף 194 בפקודת מס הכנסה אשר ההליכים מכוחו נפתחים מלכתחילה בבית המשפט על ידי פקיד השומה). </w:t>
      </w:r>
    </w:p>
    <w:p w:rsidR="00EB6017" w:rsidRDefault="00EB6017" w:rsidP="007A5107">
      <w:pPr>
        <w:pStyle w:val="ad"/>
        <w:numPr>
          <w:ilvl w:val="0"/>
          <w:numId w:val="1"/>
        </w:numPr>
        <w:spacing w:line="360" w:lineRule="auto"/>
        <w:jc w:val="both"/>
        <w:rPr>
          <w:rFonts w:ascii="David" w:hAnsi="David" w:cs="David"/>
          <w:sz w:val="26"/>
          <w:szCs w:val="26"/>
        </w:rPr>
      </w:pPr>
      <w:r>
        <w:rPr>
          <w:rFonts w:ascii="David" w:hAnsi="David" w:cs="David"/>
          <w:sz w:val="26"/>
          <w:szCs w:val="26"/>
          <w:rtl/>
        </w:rPr>
        <w:lastRenderedPageBreak/>
        <w:t>פקודת המסים (גביה) אינה קובעת מהו ההליך שבו ניתן לתקוף את ההחלטות בדבר יישום הוראותיה, על כל פנים אין בה הוראה המאפשרת הגשת ערעור מס על נקיטת הליכי גביה מכוח</w:t>
      </w:r>
      <w:r w:rsidR="007A5107">
        <w:rPr>
          <w:rFonts w:ascii="David" w:hAnsi="David" w:cs="David" w:hint="cs"/>
          <w:sz w:val="26"/>
          <w:szCs w:val="26"/>
          <w:rtl/>
        </w:rPr>
        <w:t>ה</w:t>
      </w:r>
      <w:r>
        <w:rPr>
          <w:rFonts w:ascii="David" w:hAnsi="David" w:cs="David"/>
          <w:sz w:val="26"/>
          <w:szCs w:val="26"/>
          <w:rtl/>
        </w:rPr>
        <w:t xml:space="preserve">. </w:t>
      </w:r>
    </w:p>
    <w:p w:rsidR="00EB6017" w:rsidRDefault="00EB6017" w:rsidP="007A5107">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מהבקשה שהוגשה כאמור במעטה של הגשת ערעור, ניתן ללמוד כי אין כל מחלוקת בדבר קיומו של חוב המס החלוט. עוד ניתן ללמוד מהבקשה כי המבקש אינו כופר בחבותו לשלם את חוב המס, בהסדרי הגביה שנערכו עמו, </w:t>
      </w:r>
      <w:r w:rsidR="007A5107">
        <w:rPr>
          <w:rFonts w:ascii="David" w:hAnsi="David" w:cs="David" w:hint="cs"/>
          <w:sz w:val="26"/>
          <w:szCs w:val="26"/>
          <w:rtl/>
        </w:rPr>
        <w:t xml:space="preserve">בהפרת ההסכמים </w:t>
      </w:r>
      <w:r>
        <w:rPr>
          <w:rFonts w:ascii="David" w:hAnsi="David" w:cs="David"/>
          <w:sz w:val="26"/>
          <w:szCs w:val="26"/>
          <w:rtl/>
        </w:rPr>
        <w:t xml:space="preserve">ובכך שהחוב טרם שולם. בנסיבות אלו, ובשעה שטענותיו של המבקש אינן מופנות לחוב המס, שהוא חוב  מס </w:t>
      </w:r>
      <w:r w:rsidR="007A5107">
        <w:rPr>
          <w:rFonts w:ascii="David" w:hAnsi="David" w:cs="David" w:hint="cs"/>
          <w:sz w:val="26"/>
          <w:szCs w:val="26"/>
          <w:rtl/>
        </w:rPr>
        <w:t>ס</w:t>
      </w:r>
      <w:r>
        <w:rPr>
          <w:rFonts w:ascii="David" w:hAnsi="David" w:cs="David"/>
          <w:sz w:val="26"/>
          <w:szCs w:val="26"/>
          <w:rtl/>
        </w:rPr>
        <w:t xml:space="preserve">ופי וחלוט, המבוסס ברובו המכריע על הסכמי שומה או על הדוח שהגיש המבקש בדבר הכנסותיו, ובהעדר אפשרות להגיש ערעור מס על הליכים הננקטים מכוח פקודת המסים (גביה), לא עומדת למבקש הזכות להגיש ערעור מס. </w:t>
      </w:r>
    </w:p>
    <w:p w:rsidR="00EB6017" w:rsidRDefault="00EB6017" w:rsidP="007A5107">
      <w:pPr>
        <w:pStyle w:val="ad"/>
        <w:numPr>
          <w:ilvl w:val="0"/>
          <w:numId w:val="1"/>
        </w:numPr>
        <w:spacing w:line="360" w:lineRule="auto"/>
        <w:jc w:val="both"/>
        <w:rPr>
          <w:rFonts w:ascii="David" w:hAnsi="David" w:cs="David"/>
          <w:b/>
          <w:bCs/>
          <w:sz w:val="26"/>
          <w:szCs w:val="26"/>
        </w:rPr>
      </w:pPr>
      <w:r>
        <w:rPr>
          <w:rFonts w:ascii="David" w:hAnsi="David" w:cs="David"/>
          <w:b/>
          <w:bCs/>
          <w:sz w:val="26"/>
          <w:szCs w:val="26"/>
          <w:rtl/>
        </w:rPr>
        <w:t>בנסיבות אלו ההליך שבו נקט המבקש, הגשת ערעור מס, אינו ההליך המתאים, ודי בכך כדי להורות על סילוק הבקשה על הסף.</w:t>
      </w:r>
    </w:p>
    <w:p w:rsidR="00EB6017" w:rsidRDefault="00EB6017" w:rsidP="00C24855">
      <w:pPr>
        <w:pStyle w:val="ad"/>
        <w:numPr>
          <w:ilvl w:val="0"/>
          <w:numId w:val="1"/>
        </w:numPr>
        <w:spacing w:line="360" w:lineRule="auto"/>
        <w:jc w:val="both"/>
        <w:rPr>
          <w:rFonts w:ascii="David" w:hAnsi="David" w:cs="David"/>
          <w:b/>
          <w:bCs/>
          <w:sz w:val="26"/>
          <w:szCs w:val="26"/>
        </w:rPr>
      </w:pPr>
      <w:r>
        <w:rPr>
          <w:rFonts w:ascii="David" w:hAnsi="David" w:cs="David"/>
          <w:sz w:val="26"/>
          <w:szCs w:val="26"/>
          <w:rtl/>
        </w:rPr>
        <w:t>המבקש טען באופן כללי שהסמכות העניינית מסורה לבית המשפט המחוזי מהטעם שעתירתו מופנית כלפי החלטה מנהלית של פקיד השומה, ואולם לא זו בלבד שהבקשה לא הוגשה כעתירה מנהלית, אף לא שולמה האגרה המתאימה, המבקש נמנע מלפרט מדוע לא הוגשה בקשתו כעתירה מנהלית מלכתחילה</w:t>
      </w:r>
      <w:r w:rsidR="007A5107">
        <w:rPr>
          <w:rFonts w:ascii="David" w:hAnsi="David" w:cs="David" w:hint="cs"/>
          <w:sz w:val="26"/>
          <w:szCs w:val="26"/>
          <w:rtl/>
        </w:rPr>
        <w:t>. כמו כן</w:t>
      </w:r>
      <w:r>
        <w:rPr>
          <w:rFonts w:ascii="David" w:hAnsi="David" w:cs="David"/>
          <w:sz w:val="26"/>
          <w:szCs w:val="26"/>
          <w:rtl/>
        </w:rPr>
        <w:t xml:space="preserve"> נמנע </w:t>
      </w:r>
      <w:r w:rsidR="007A5107">
        <w:rPr>
          <w:rFonts w:ascii="David" w:hAnsi="David" w:cs="David" w:hint="cs"/>
          <w:sz w:val="26"/>
          <w:szCs w:val="26"/>
          <w:rtl/>
        </w:rPr>
        <w:t xml:space="preserve">המבקש </w:t>
      </w:r>
      <w:r>
        <w:rPr>
          <w:rFonts w:ascii="David" w:hAnsi="David" w:cs="David"/>
          <w:sz w:val="26"/>
          <w:szCs w:val="26"/>
          <w:rtl/>
        </w:rPr>
        <w:t xml:space="preserve">מלפרט את מקור הסמכות של בית המשפט </w:t>
      </w:r>
      <w:r w:rsidR="00C24855">
        <w:rPr>
          <w:rFonts w:ascii="David" w:hAnsi="David" w:cs="David" w:hint="cs"/>
          <w:sz w:val="26"/>
          <w:szCs w:val="26"/>
          <w:rtl/>
        </w:rPr>
        <w:t xml:space="preserve">לעניינים </w:t>
      </w:r>
      <w:r>
        <w:rPr>
          <w:rFonts w:ascii="David" w:hAnsi="David" w:cs="David"/>
          <w:sz w:val="26"/>
          <w:szCs w:val="26"/>
          <w:rtl/>
        </w:rPr>
        <w:t>מנהלי</w:t>
      </w:r>
      <w:r w:rsidR="00C24855">
        <w:rPr>
          <w:rFonts w:ascii="David" w:hAnsi="David" w:cs="David" w:hint="cs"/>
          <w:sz w:val="26"/>
          <w:szCs w:val="26"/>
          <w:rtl/>
        </w:rPr>
        <w:t>ם</w:t>
      </w:r>
      <w:r>
        <w:rPr>
          <w:rFonts w:ascii="David" w:hAnsi="David" w:cs="David"/>
          <w:sz w:val="26"/>
          <w:szCs w:val="26"/>
          <w:rtl/>
        </w:rPr>
        <w:t xml:space="preserve"> לדון בעתירה על החלטה על פי פקודת המסים (גביה), בהינתן העובדה שהחלטה שכזו אינה מנויה באחת מהתוספות לחוק </w:t>
      </w:r>
      <w:r>
        <w:rPr>
          <w:rFonts w:ascii="David" w:hAnsi="David" w:cs="David"/>
          <w:b/>
          <w:bCs/>
          <w:sz w:val="26"/>
          <w:szCs w:val="26"/>
          <w:rtl/>
        </w:rPr>
        <w:t>בתי משפט לעניינים מנהליים, התש"ס- 2000</w:t>
      </w:r>
      <w:r w:rsidR="00C24855">
        <w:rPr>
          <w:rFonts w:ascii="David" w:hAnsi="David" w:cs="David" w:hint="cs"/>
          <w:b/>
          <w:bCs/>
          <w:sz w:val="26"/>
          <w:szCs w:val="26"/>
          <w:rtl/>
        </w:rPr>
        <w:t>.</w:t>
      </w:r>
      <w:r>
        <w:rPr>
          <w:rFonts w:ascii="David" w:hAnsi="David" w:cs="David"/>
          <w:b/>
          <w:bCs/>
          <w:sz w:val="26"/>
          <w:szCs w:val="26"/>
          <w:rtl/>
        </w:rPr>
        <w:t xml:space="preserve"> </w:t>
      </w:r>
      <w:r>
        <w:rPr>
          <w:rFonts w:ascii="David" w:hAnsi="David" w:cs="David"/>
          <w:sz w:val="26"/>
          <w:szCs w:val="26"/>
          <w:rtl/>
        </w:rPr>
        <w:t xml:space="preserve">(לעניין סמכות בג"ץ ראו למשל בג"ץ 2486/09 </w:t>
      </w:r>
      <w:r>
        <w:rPr>
          <w:rFonts w:ascii="David" w:hAnsi="David" w:cs="David"/>
          <w:b/>
          <w:bCs/>
          <w:sz w:val="26"/>
          <w:szCs w:val="26"/>
          <w:rtl/>
        </w:rPr>
        <w:t>סגל נ' פקיד שומה רחובות ואח'</w:t>
      </w:r>
      <w:r>
        <w:rPr>
          <w:rFonts w:ascii="David" w:hAnsi="David" w:cs="David"/>
          <w:sz w:val="26"/>
          <w:szCs w:val="26"/>
          <w:rtl/>
        </w:rPr>
        <w:t xml:space="preserve"> (מיום 3.8.09) (להלן- "</w:t>
      </w:r>
      <w:r>
        <w:rPr>
          <w:rFonts w:ascii="David" w:hAnsi="David" w:cs="David"/>
          <w:b/>
          <w:bCs/>
          <w:sz w:val="26"/>
          <w:szCs w:val="26"/>
          <w:rtl/>
        </w:rPr>
        <w:t>פרשת סגל</w:t>
      </w:r>
      <w:r>
        <w:rPr>
          <w:rFonts w:ascii="David" w:hAnsi="David" w:cs="David"/>
          <w:sz w:val="26"/>
          <w:szCs w:val="26"/>
          <w:rtl/>
        </w:rPr>
        <w:t>")) .</w:t>
      </w:r>
      <w:r>
        <w:rPr>
          <w:rFonts w:ascii="David" w:hAnsi="David" w:cs="David"/>
          <w:b/>
          <w:bCs/>
          <w:sz w:val="26"/>
          <w:szCs w:val="26"/>
          <w:rtl/>
        </w:rPr>
        <w:t xml:space="preserve"> </w:t>
      </w:r>
    </w:p>
    <w:p w:rsidR="00EB6017" w:rsidRDefault="00EB6017" w:rsidP="00EB6017">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מעבר לדרוש אציין כי עיון בבקשה מעלה סימני שאלה באשר ל'עילת התביעה'. לבקשה צורפה כאמור הודעה על ביצוע העיקול, ואולם לא נטענו טענות כלשהן בדבר פגם שנפל כביכול בשיקול הדעת, ולא ברור על יסוד מה התבקש הסעד של שחרור הרכב התפוס. הטענה בדבר 'חוסר מידתיות' של ההחלטה נטענה לראשונה בגדרה של תגובה לתגובה, ולא בבקשה גופה, המהווה לכאורה את כתב הטענות בהליך. לא זו אף זו, גם בתגובה לתגובה לא פורט מדוע ההחלטה אינה מידתית, בהינתן קיומו של חוב מס שאינו שנוי במחלוקת אשר טרם שולם, ובהינתן העובדה שהסדרי הגבייה המקלים הופרו על ידי המבקש פעם אחר פעם (בהתאם לטענות פקיד השומה בתגובתו אשר לא הוכחשו על ידי המבקש בדרך כלשהי). גם בתגובה לא בואר מדוע </w:t>
      </w:r>
      <w:r>
        <w:rPr>
          <w:rFonts w:ascii="David" w:hAnsi="David" w:cs="David"/>
          <w:sz w:val="26"/>
          <w:szCs w:val="26"/>
          <w:rtl/>
        </w:rPr>
        <w:lastRenderedPageBreak/>
        <w:t xml:space="preserve">מימוש דירה </w:t>
      </w:r>
      <w:r w:rsidR="00C24855">
        <w:rPr>
          <w:rFonts w:ascii="David" w:hAnsi="David" w:cs="David" w:hint="cs"/>
          <w:sz w:val="26"/>
          <w:szCs w:val="26"/>
          <w:rtl/>
        </w:rPr>
        <w:t>'</w:t>
      </w:r>
      <w:r>
        <w:rPr>
          <w:rFonts w:ascii="David" w:hAnsi="David" w:cs="David"/>
          <w:sz w:val="26"/>
          <w:szCs w:val="26"/>
          <w:rtl/>
        </w:rPr>
        <w:t>מידתי</w:t>
      </w:r>
      <w:r w:rsidR="00C24855">
        <w:rPr>
          <w:rFonts w:ascii="David" w:hAnsi="David" w:cs="David" w:hint="cs"/>
          <w:sz w:val="26"/>
          <w:szCs w:val="26"/>
          <w:rtl/>
        </w:rPr>
        <w:t>'</w:t>
      </w:r>
      <w:r>
        <w:rPr>
          <w:rFonts w:ascii="David" w:hAnsi="David" w:cs="David"/>
          <w:sz w:val="26"/>
          <w:szCs w:val="26"/>
          <w:rtl/>
        </w:rPr>
        <w:t xml:space="preserve"> יותר ממימוש רכב, או מדוע מוטל על פקיד השומה להמתין בנקיטת הליכי גביה</w:t>
      </w:r>
      <w:r w:rsidR="00C24855">
        <w:rPr>
          <w:rFonts w:ascii="David" w:hAnsi="David" w:cs="David" w:hint="cs"/>
          <w:sz w:val="26"/>
          <w:szCs w:val="26"/>
          <w:rtl/>
        </w:rPr>
        <w:t xml:space="preserve"> עד למכירה עתידית</w:t>
      </w:r>
      <w:r>
        <w:rPr>
          <w:rFonts w:ascii="David" w:hAnsi="David" w:cs="David"/>
          <w:sz w:val="26"/>
          <w:szCs w:val="26"/>
          <w:rtl/>
        </w:rPr>
        <w:t xml:space="preserve"> </w:t>
      </w:r>
      <w:r w:rsidR="00C24855">
        <w:rPr>
          <w:rFonts w:ascii="David" w:hAnsi="David" w:cs="David" w:hint="cs"/>
          <w:sz w:val="26"/>
          <w:szCs w:val="26"/>
          <w:rtl/>
        </w:rPr>
        <w:t xml:space="preserve">של דירה, </w:t>
      </w:r>
      <w:r>
        <w:rPr>
          <w:rFonts w:ascii="David" w:hAnsi="David" w:cs="David"/>
          <w:sz w:val="26"/>
          <w:szCs w:val="26"/>
          <w:rtl/>
        </w:rPr>
        <w:t xml:space="preserve">בשעה שמועד תשלום חוב המס חלף זה מכבר, לפני למעלה משנה. </w:t>
      </w:r>
    </w:p>
    <w:p w:rsidR="00EB6017" w:rsidRDefault="00EB6017" w:rsidP="00EB6017">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למותר לציין כי המבקש נמנע מלפרט בבקשתו את העובדות הרלוונטיות לבקשה, כגון מהותו של חוב המס נושא הליכי הגביה, היותו חוב מס סופי וחלוט שאינו שנוי במחלוקת, הסדרי הגביה החוזרים ונשנים שנעשו בעבר עם פקיד השומה לשם תשלום חוב המס, ההפרות החוזרות ונשנות מצד המבקש של אותם הסדרים, אף </w:t>
      </w:r>
      <w:r>
        <w:rPr>
          <w:rFonts w:ascii="David" w:hAnsi="David" w:cs="David"/>
          <w:b/>
          <w:bCs/>
          <w:sz w:val="26"/>
          <w:szCs w:val="26"/>
          <w:rtl/>
        </w:rPr>
        <w:t>שתקנות בתי משפט לעניינים מנהליים (סדרי דין), התשס"א- 2000</w:t>
      </w:r>
      <w:r>
        <w:rPr>
          <w:rFonts w:ascii="David" w:hAnsi="David" w:cs="David"/>
          <w:sz w:val="26"/>
          <w:szCs w:val="26"/>
          <w:rtl/>
        </w:rPr>
        <w:t xml:space="preserve">, כמו גם </w:t>
      </w:r>
      <w:r>
        <w:rPr>
          <w:rFonts w:ascii="David" w:hAnsi="David" w:cs="David"/>
          <w:b/>
          <w:bCs/>
          <w:sz w:val="26"/>
          <w:szCs w:val="26"/>
          <w:rtl/>
        </w:rPr>
        <w:t>תקנות סדר הדין האזרחי, התשע"ט- 2018</w:t>
      </w:r>
      <w:r>
        <w:rPr>
          <w:rFonts w:ascii="David" w:hAnsi="David" w:cs="David"/>
          <w:sz w:val="26"/>
          <w:szCs w:val="26"/>
          <w:rtl/>
        </w:rPr>
        <w:t xml:space="preserve"> (להלן- "</w:t>
      </w:r>
      <w:r>
        <w:rPr>
          <w:rFonts w:ascii="David" w:hAnsi="David" w:cs="David"/>
          <w:b/>
          <w:bCs/>
          <w:sz w:val="26"/>
          <w:szCs w:val="26"/>
          <w:rtl/>
        </w:rPr>
        <w:t>תקנות סדר הדין האזרחי</w:t>
      </w:r>
      <w:r>
        <w:rPr>
          <w:rFonts w:ascii="David" w:hAnsi="David" w:cs="David"/>
          <w:sz w:val="26"/>
          <w:szCs w:val="26"/>
          <w:rtl/>
        </w:rPr>
        <w:t>") מחייבות מתן פירוט של העובדות הרלוונטיות לבקשה (וראו למשל בפרשת סגל שם נקבע כי משנמנע העותר מלפרט את כלל המהלכים והתכתובות עם המשיבים, "</w:t>
      </w:r>
      <w:r>
        <w:rPr>
          <w:rFonts w:ascii="David" w:hAnsi="David" w:cs="David"/>
          <w:b/>
          <w:bCs/>
          <w:sz w:val="26"/>
          <w:szCs w:val="26"/>
          <w:rtl/>
        </w:rPr>
        <w:t>עולה התנהלות זו עד כדי חוסר נקיון כפיים, המצדיק, אף כעילה עצמאית, את דחייתה של העתירה על הסף</w:t>
      </w:r>
      <w:r>
        <w:rPr>
          <w:rFonts w:ascii="David" w:hAnsi="David" w:cs="David"/>
          <w:sz w:val="26"/>
          <w:szCs w:val="26"/>
          <w:rtl/>
        </w:rPr>
        <w:t>")</w:t>
      </w:r>
    </w:p>
    <w:p w:rsidR="00EB6017" w:rsidRDefault="00EB6017" w:rsidP="00C24855">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מעבר לדרוש אציין כי מתכונת הגשת הבקשה והסעד המבוקש, לרבות הטענות בדבר  היחס בין השעבוד והעיקול, תואמים לכאורה הגשת תביעה למתן סעד אזרחי, וכפי שציין פקיד השומה בתגובתו, </w:t>
      </w:r>
      <w:r w:rsidR="00C24855">
        <w:rPr>
          <w:rFonts w:ascii="David" w:hAnsi="David" w:cs="David" w:hint="cs"/>
          <w:sz w:val="26"/>
          <w:szCs w:val="26"/>
          <w:rtl/>
        </w:rPr>
        <w:t>זוהי</w:t>
      </w:r>
      <w:r>
        <w:rPr>
          <w:rFonts w:ascii="David" w:hAnsi="David" w:cs="David"/>
          <w:sz w:val="26"/>
          <w:szCs w:val="26"/>
          <w:rtl/>
        </w:rPr>
        <w:t xml:space="preserve"> המתכונת המקובלת והשכיחה לתקיפת הליכים ש</w:t>
      </w:r>
      <w:r w:rsidR="00C24855">
        <w:rPr>
          <w:rFonts w:ascii="David" w:hAnsi="David" w:cs="David" w:hint="cs"/>
          <w:sz w:val="26"/>
          <w:szCs w:val="26"/>
          <w:rtl/>
        </w:rPr>
        <w:t xml:space="preserve">בהם </w:t>
      </w:r>
      <w:r>
        <w:rPr>
          <w:rFonts w:ascii="David" w:hAnsi="David" w:cs="David"/>
          <w:sz w:val="26"/>
          <w:szCs w:val="26"/>
          <w:rtl/>
        </w:rPr>
        <w:t xml:space="preserve">נקט פקיד השומה על פי פקודת המסים (גביה) (ראו לעניין זה למשל ע"א 3901/11 </w:t>
      </w:r>
      <w:r>
        <w:rPr>
          <w:rFonts w:ascii="David" w:hAnsi="David" w:cs="David"/>
          <w:b/>
          <w:bCs/>
          <w:sz w:val="26"/>
          <w:szCs w:val="26"/>
          <w:rtl/>
        </w:rPr>
        <w:t>מחקשווילי נ' רשות המסים בישראל</w:t>
      </w:r>
      <w:r>
        <w:rPr>
          <w:rFonts w:ascii="David" w:hAnsi="David" w:cs="David"/>
          <w:sz w:val="26"/>
          <w:szCs w:val="26"/>
          <w:rtl/>
        </w:rPr>
        <w:t xml:space="preserve"> (מיום 7.8.2012)</w:t>
      </w:r>
      <w:r w:rsidR="00A30EE6">
        <w:rPr>
          <w:rFonts w:ascii="David" w:hAnsi="David" w:cs="David" w:hint="cs"/>
          <w:sz w:val="26"/>
          <w:szCs w:val="26"/>
          <w:rtl/>
        </w:rPr>
        <w:t xml:space="preserve">; בג"ץ 3073/18 </w:t>
      </w:r>
      <w:r w:rsidR="00A30EE6" w:rsidRPr="00A30EE6">
        <w:rPr>
          <w:rFonts w:ascii="Times New Roman" w:eastAsia="Times New Roman" w:hAnsi="Times New Roman" w:cs="David"/>
          <w:b/>
          <w:bCs/>
          <w:sz w:val="26"/>
          <w:szCs w:val="26"/>
          <w:rtl/>
        </w:rPr>
        <w:t>צ.ג.י. פרסונל שירותי כח אדם (2005) בע"מ</w:t>
      </w:r>
      <w:r w:rsidR="00A30EE6" w:rsidRPr="00A30EE6">
        <w:rPr>
          <w:rFonts w:ascii="David" w:hAnsi="David" w:cs="David" w:hint="cs"/>
          <w:b/>
          <w:bCs/>
          <w:sz w:val="26"/>
          <w:szCs w:val="26"/>
          <w:rtl/>
        </w:rPr>
        <w:t xml:space="preserve"> נ' פקיד שומה חולון</w:t>
      </w:r>
      <w:r w:rsidR="00A30EE6">
        <w:rPr>
          <w:rFonts w:ascii="David" w:hAnsi="David" w:cs="David" w:hint="cs"/>
          <w:sz w:val="26"/>
          <w:szCs w:val="26"/>
          <w:rtl/>
        </w:rPr>
        <w:t xml:space="preserve"> (מיום 29.7.2018)</w:t>
      </w:r>
      <w:r>
        <w:rPr>
          <w:rFonts w:ascii="David" w:hAnsi="David" w:cs="David"/>
          <w:sz w:val="26"/>
          <w:szCs w:val="26"/>
          <w:rtl/>
        </w:rPr>
        <w:t>.</w:t>
      </w:r>
    </w:p>
    <w:p w:rsidR="00EB6017" w:rsidRDefault="00EB6017" w:rsidP="00C24855">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מבלי לנקוט עמדה באשר להליך המתאים לבירור הבקשה, במיוחד בשעה שעילת התביעה </w:t>
      </w:r>
      <w:r w:rsidR="00C24855">
        <w:rPr>
          <w:rFonts w:ascii="David" w:hAnsi="David" w:cs="David" w:hint="cs"/>
          <w:sz w:val="26"/>
          <w:szCs w:val="26"/>
          <w:rtl/>
        </w:rPr>
        <w:t xml:space="preserve">בענייננו אינה </w:t>
      </w:r>
      <w:r w:rsidR="00C24855">
        <w:rPr>
          <w:rFonts w:ascii="David" w:hAnsi="David" w:cs="David"/>
          <w:sz w:val="26"/>
          <w:szCs w:val="26"/>
          <w:rtl/>
        </w:rPr>
        <w:t>ברורה</w:t>
      </w:r>
      <w:r>
        <w:rPr>
          <w:rFonts w:ascii="David" w:hAnsi="David" w:cs="David"/>
          <w:sz w:val="26"/>
          <w:szCs w:val="26"/>
          <w:rtl/>
        </w:rPr>
        <w:t xml:space="preserve">, ככל שמדובר בתביעה כספית, נקבעת הסמכות בהתאם לשווי הסעד (ראו למשל רע"א 483/88 </w:t>
      </w:r>
      <w:r>
        <w:rPr>
          <w:rFonts w:ascii="David" w:hAnsi="David" w:cs="David"/>
          <w:b/>
          <w:bCs/>
          <w:sz w:val="26"/>
          <w:szCs w:val="26"/>
          <w:rtl/>
        </w:rPr>
        <w:t>מפעלים פטרוכימיים בע"מ נ' מדינת ישראל- אגף המכס והבלו</w:t>
      </w:r>
      <w:r>
        <w:rPr>
          <w:rFonts w:ascii="David" w:hAnsi="David" w:cs="David"/>
          <w:sz w:val="26"/>
          <w:szCs w:val="26"/>
          <w:rtl/>
        </w:rPr>
        <w:t xml:space="preserve">, פ"ד מד (3) 812, 816-817; בר"ם 8689/16 </w:t>
      </w:r>
      <w:r>
        <w:rPr>
          <w:rFonts w:ascii="David" w:hAnsi="David" w:cs="David"/>
          <w:b/>
          <w:bCs/>
          <w:sz w:val="26"/>
          <w:szCs w:val="26"/>
          <w:rtl/>
        </w:rPr>
        <w:t>עיריית רמת השרון נ' הכפר הירוק על שם לוי אשכול</w:t>
      </w:r>
      <w:r>
        <w:rPr>
          <w:rFonts w:ascii="David" w:hAnsi="David" w:cs="David"/>
          <w:sz w:val="26"/>
          <w:szCs w:val="26"/>
          <w:rtl/>
        </w:rPr>
        <w:t xml:space="preserve"> (מיום 26.9.2017), ונוכח גובה חוב המס </w:t>
      </w:r>
      <w:r w:rsidR="00C24855">
        <w:rPr>
          <w:rFonts w:ascii="David" w:hAnsi="David" w:cs="David" w:hint="cs"/>
          <w:sz w:val="26"/>
          <w:szCs w:val="26"/>
          <w:rtl/>
        </w:rPr>
        <w:t xml:space="preserve">שבגינו ננקטים ההליכים, </w:t>
      </w:r>
      <w:r>
        <w:rPr>
          <w:rFonts w:ascii="David" w:hAnsi="David" w:cs="David"/>
          <w:sz w:val="26"/>
          <w:szCs w:val="26"/>
          <w:rtl/>
        </w:rPr>
        <w:t xml:space="preserve">ספק האם מסורה הסמכות העניינית לבית משפט זה. </w:t>
      </w:r>
    </w:p>
    <w:p w:rsidR="00EB6017" w:rsidRDefault="00EB6017" w:rsidP="00EB6017">
      <w:pPr>
        <w:pStyle w:val="ad"/>
        <w:numPr>
          <w:ilvl w:val="0"/>
          <w:numId w:val="1"/>
        </w:numPr>
        <w:spacing w:line="360" w:lineRule="auto"/>
        <w:jc w:val="both"/>
        <w:rPr>
          <w:rFonts w:ascii="David" w:hAnsi="David" w:cs="David"/>
          <w:sz w:val="26"/>
          <w:szCs w:val="26"/>
        </w:rPr>
      </w:pPr>
      <w:r>
        <w:rPr>
          <w:rFonts w:ascii="David" w:hAnsi="David" w:cs="David"/>
          <w:sz w:val="26"/>
          <w:szCs w:val="26"/>
          <w:rtl/>
        </w:rPr>
        <w:t>למען הסר ספק אציין כי לא הוגשה בענייננו בקשה למתן סעד זמני, לצד הגשת הבקשה למתן סעד קבוע.</w:t>
      </w:r>
    </w:p>
    <w:p w:rsidR="00EB6017" w:rsidRDefault="00EB6017" w:rsidP="00EB6017">
      <w:pPr>
        <w:spacing w:line="360" w:lineRule="auto"/>
        <w:ind w:left="360"/>
        <w:jc w:val="both"/>
        <w:rPr>
          <w:rFonts w:ascii="David" w:hAnsi="David"/>
          <w:b/>
          <w:bCs/>
          <w:sz w:val="26"/>
          <w:szCs w:val="26"/>
          <w:u w:val="single"/>
        </w:rPr>
      </w:pPr>
      <w:r>
        <w:rPr>
          <w:rFonts w:ascii="David" w:hAnsi="David"/>
          <w:b/>
          <w:bCs/>
          <w:sz w:val="26"/>
          <w:szCs w:val="26"/>
          <w:u w:val="single"/>
          <w:rtl/>
        </w:rPr>
        <w:t>סיכום</w:t>
      </w:r>
    </w:p>
    <w:p w:rsidR="00EB6017" w:rsidRDefault="00EB6017" w:rsidP="00EB6017">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בהיעדר אפשרות להגיש ערעור מס על הליכים הננקטים על פי פקודת המסים (גביה), </w:t>
      </w:r>
      <w:r w:rsidR="00A30EE6">
        <w:rPr>
          <w:rFonts w:ascii="David" w:hAnsi="David" w:cs="David" w:hint="cs"/>
          <w:sz w:val="26"/>
          <w:szCs w:val="26"/>
          <w:rtl/>
        </w:rPr>
        <w:t xml:space="preserve">והואיל והמבקש נקט בהליך שגוי, </w:t>
      </w:r>
      <w:r>
        <w:rPr>
          <w:rFonts w:ascii="David" w:hAnsi="David" w:cs="David"/>
          <w:sz w:val="26"/>
          <w:szCs w:val="26"/>
          <w:rtl/>
        </w:rPr>
        <w:t>אני מורה על מחיקת הבקשה על הסף.</w:t>
      </w:r>
    </w:p>
    <w:p w:rsidR="00EB6017" w:rsidRDefault="00EB6017" w:rsidP="00EB6017">
      <w:pPr>
        <w:pStyle w:val="ad"/>
        <w:numPr>
          <w:ilvl w:val="0"/>
          <w:numId w:val="1"/>
        </w:numPr>
        <w:spacing w:line="360" w:lineRule="auto"/>
        <w:jc w:val="both"/>
        <w:rPr>
          <w:rFonts w:ascii="David" w:hAnsi="David" w:cs="David"/>
          <w:sz w:val="26"/>
          <w:szCs w:val="26"/>
        </w:rPr>
      </w:pPr>
      <w:r>
        <w:rPr>
          <w:rFonts w:ascii="David" w:hAnsi="David" w:cs="David"/>
          <w:sz w:val="26"/>
          <w:szCs w:val="26"/>
          <w:rtl/>
        </w:rPr>
        <w:lastRenderedPageBreak/>
        <w:t xml:space="preserve">המבקש ישלם לפקיד השומה את הוצאותיו בגין הליך זה, בסכום של 5,000 ₪, וזאת בתוך 30 ימים. ככל שהסכום לא ישולם במועד הוא יישא הפרשי הצמדה וריבית כדין עד יום התשלום בפועל.  </w:t>
      </w:r>
    </w:p>
    <w:p w:rsidR="00EB6017" w:rsidRDefault="00EB6017" w:rsidP="00EB6017">
      <w:pPr>
        <w:spacing w:line="360" w:lineRule="auto"/>
        <w:rPr>
          <w:rFonts w:asciiTheme="minorHAnsi" w:hAnsiTheme="minorHAnsi" w:cstheme="minorBidi"/>
          <w:sz w:val="22"/>
          <w:szCs w:val="22"/>
        </w:rPr>
      </w:pPr>
    </w:p>
    <w:p w:rsidR="00EB6017" w:rsidRDefault="00EB6017" w:rsidP="00EB6017"/>
    <w:p w:rsidR="00694556" w:rsidRPr="00EB6017"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א'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20 יוני 2023</w:t>
          </w:r>
        </w:sdtContent>
      </w:sdt>
      <w:r w:rsidR="00005C8B">
        <w:rPr>
          <w:rFonts w:ascii="Arial" w:hAnsi="Arial"/>
          <w:noProof w:val="0"/>
          <w:rtl/>
        </w:rPr>
        <w:t>, בהעדר הצדדים.</w:t>
      </w:r>
    </w:p>
    <w:p w:rsidR="00C43648" w:rsidRDefault="006C64B5"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49967343"/>
        </w:sdtPr>
        <w:sdtEndPr/>
        <w:sdtContent>
          <w:r w:rsidR="004C45FF">
            <w:drawing>
              <wp:inline distT="0" distB="0" distL="0" distR="0" wp14:editId="50D07946">
                <wp:extent cx="1000125"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00125" cy="10763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4B5" w:rsidRDefault="006C64B5">
      <w:r>
        <w:separator/>
      </w:r>
    </w:p>
  </w:endnote>
  <w:endnote w:type="continuationSeparator" w:id="0">
    <w:p w:rsidR="006C64B5" w:rsidRDefault="006C6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91450">
      <w:rPr>
        <w:rStyle w:val="ab"/>
        <w:rFonts w:cs="Times New Roman"/>
        <w:rtl/>
      </w:rPr>
      <w:t>8</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91450">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4B5" w:rsidRDefault="006C64B5">
      <w:r>
        <w:separator/>
      </w:r>
    </w:p>
  </w:footnote>
  <w:footnote w:type="continuationSeparator" w:id="0">
    <w:p w:rsidR="006C64B5" w:rsidRDefault="006C6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לעניינים מנהליים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6C64B5" w:rsidP="00EB6017">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ע"מ</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33151-05-23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 xml:space="preserve">שוד נ' </w:t>
              </w:r>
              <w:r w:rsidR="00EB6017">
                <w:rPr>
                  <w:rFonts w:hint="cs"/>
                  <w:b/>
                  <w:bCs/>
                  <w:noProof w:val="0"/>
                  <w:sz w:val="26"/>
                  <w:szCs w:val="26"/>
                  <w:rtl/>
                </w:rPr>
                <w:t>פקיד שומה אשקלון</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CC37B9"/>
    <w:multiLevelType w:val="hybridMultilevel"/>
    <w:tmpl w:val="CCE4C0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F7"/>
    <w:rsid w:val="000B344B"/>
    <w:rsid w:val="000B399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75CFA"/>
    <w:rsid w:val="00284A53"/>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C17EE"/>
    <w:rsid w:val="004C45FF"/>
    <w:rsid w:val="004C4BDF"/>
    <w:rsid w:val="004D1187"/>
    <w:rsid w:val="004D3AA0"/>
    <w:rsid w:val="004E1987"/>
    <w:rsid w:val="004E2E15"/>
    <w:rsid w:val="004E6C7D"/>
    <w:rsid w:val="004E6E3C"/>
    <w:rsid w:val="00520898"/>
    <w:rsid w:val="00523621"/>
    <w:rsid w:val="00524986"/>
    <w:rsid w:val="005268F6"/>
    <w:rsid w:val="0053147C"/>
    <w:rsid w:val="00534284"/>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C64B5"/>
    <w:rsid w:val="006D3B31"/>
    <w:rsid w:val="006E0D96"/>
    <w:rsid w:val="006E1A53"/>
    <w:rsid w:val="006F56E6"/>
    <w:rsid w:val="00704EDA"/>
    <w:rsid w:val="00721122"/>
    <w:rsid w:val="00734689"/>
    <w:rsid w:val="007351F7"/>
    <w:rsid w:val="0074237B"/>
    <w:rsid w:val="00753019"/>
    <w:rsid w:val="00754801"/>
    <w:rsid w:val="00761441"/>
    <w:rsid w:val="00777276"/>
    <w:rsid w:val="00795365"/>
    <w:rsid w:val="007A351D"/>
    <w:rsid w:val="007A5107"/>
    <w:rsid w:val="007B7765"/>
    <w:rsid w:val="007C09E2"/>
    <w:rsid w:val="007C2453"/>
    <w:rsid w:val="007C5BDD"/>
    <w:rsid w:val="007D45E3"/>
    <w:rsid w:val="007E6115"/>
    <w:rsid w:val="007F4609"/>
    <w:rsid w:val="00805EFF"/>
    <w:rsid w:val="00814468"/>
    <w:rsid w:val="008176A1"/>
    <w:rsid w:val="00820005"/>
    <w:rsid w:val="00844318"/>
    <w:rsid w:val="00857596"/>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1C5B"/>
    <w:rsid w:val="00955642"/>
    <w:rsid w:val="009622DF"/>
    <w:rsid w:val="0096493F"/>
    <w:rsid w:val="00967DFF"/>
    <w:rsid w:val="00994341"/>
    <w:rsid w:val="009D1A48"/>
    <w:rsid w:val="009E1CE7"/>
    <w:rsid w:val="009E461A"/>
    <w:rsid w:val="009E4EA5"/>
    <w:rsid w:val="009F164B"/>
    <w:rsid w:val="009F323C"/>
    <w:rsid w:val="00A30EE6"/>
    <w:rsid w:val="00A3392B"/>
    <w:rsid w:val="00A46717"/>
    <w:rsid w:val="00A52B83"/>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BF219B"/>
    <w:rsid w:val="00C22D93"/>
    <w:rsid w:val="00C23458"/>
    <w:rsid w:val="00C23AC9"/>
    <w:rsid w:val="00C24855"/>
    <w:rsid w:val="00C31120"/>
    <w:rsid w:val="00C34482"/>
    <w:rsid w:val="00C43648"/>
    <w:rsid w:val="00C50A9F"/>
    <w:rsid w:val="00C642FA"/>
    <w:rsid w:val="00C72249"/>
    <w:rsid w:val="00C770E3"/>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4CEB"/>
    <w:rsid w:val="00DE6BF6"/>
    <w:rsid w:val="00E00709"/>
    <w:rsid w:val="00E1068A"/>
    <w:rsid w:val="00E25884"/>
    <w:rsid w:val="00E25B55"/>
    <w:rsid w:val="00E31C2B"/>
    <w:rsid w:val="00E5426A"/>
    <w:rsid w:val="00E54642"/>
    <w:rsid w:val="00E727FE"/>
    <w:rsid w:val="00E80CBE"/>
    <w:rsid w:val="00E9269D"/>
    <w:rsid w:val="00E962E3"/>
    <w:rsid w:val="00EB6017"/>
    <w:rsid w:val="00EB6C79"/>
    <w:rsid w:val="00EC37E9"/>
    <w:rsid w:val="00F038D8"/>
    <w:rsid w:val="00F06995"/>
    <w:rsid w:val="00F12D66"/>
    <w:rsid w:val="00F13623"/>
    <w:rsid w:val="00F44D1D"/>
    <w:rsid w:val="00F84B6D"/>
    <w:rsid w:val="00F91450"/>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EB6017"/>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37762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9D2517" w:rsidP="009D2517">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D0835A28627A476594973290286577B2"/>
        <w:category>
          <w:name w:val="כללי"/>
          <w:gallery w:val="placeholder"/>
        </w:category>
        <w:types>
          <w:type w:val="bbPlcHdr"/>
        </w:types>
        <w:behaviors>
          <w:behavior w:val="content"/>
        </w:behaviors>
        <w:guid w:val="{B58AC2E4-A63A-41F5-B07A-05150DB4A8E9}"/>
      </w:docPartPr>
      <w:docPartBody>
        <w:p w:rsidR="00817811" w:rsidRDefault="00817811" w:rsidP="00817811">
          <w:pPr>
            <w:pStyle w:val="D0835A28627A476594973290286577B21"/>
          </w:pPr>
          <w:r w:rsidRPr="007C2453">
            <w:rPr>
              <w:rFonts w:ascii="Arial" w:hAnsi="Arial"/>
              <w:b/>
              <w:bCs/>
              <w:noProof w:val="0"/>
              <w:sz w:val="26"/>
              <w:szCs w:val="26"/>
              <w:rtl/>
            </w:rPr>
            <w:t>שם צד ג' ללא שם של חסוי</w:t>
          </w:r>
        </w:p>
      </w:docPartBody>
    </w:docPart>
    <w:docPart>
      <w:docPartPr>
        <w:name w:val="C0D9D4EB038F4D9DB24B5A2B7A8F2E7B"/>
        <w:category>
          <w:name w:val="כללי"/>
          <w:gallery w:val="placeholder"/>
        </w:category>
        <w:types>
          <w:type w:val="bbPlcHdr"/>
        </w:types>
        <w:behaviors>
          <w:behavior w:val="content"/>
        </w:behaviors>
        <w:guid w:val="{22B7C322-3B71-4615-99D1-4C2603CD5190}"/>
      </w:docPartPr>
      <w:docPartBody>
        <w:p w:rsidR="00817811" w:rsidRDefault="00817811" w:rsidP="00817811">
          <w:pPr>
            <w:pStyle w:val="C0D9D4EB038F4D9DB24B5A2B7A8F2E7B1"/>
          </w:pPr>
          <w:r w:rsidRPr="00272E32">
            <w:rPr>
              <w:rFonts w:ascii="Arial" w:hAnsi="Arial"/>
              <w:b/>
              <w:bCs/>
              <w:noProof w:val="0"/>
              <w:sz w:val="26"/>
              <w:szCs w:val="26"/>
              <w:rtl/>
            </w:rPr>
            <w:t>מעמד.כינוי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0D7511"/>
    <w:rsid w:val="002D02C4"/>
    <w:rsid w:val="00345C9D"/>
    <w:rsid w:val="0048651F"/>
    <w:rsid w:val="005157ED"/>
    <w:rsid w:val="005171E8"/>
    <w:rsid w:val="00556D67"/>
    <w:rsid w:val="00793995"/>
    <w:rsid w:val="007B4E54"/>
    <w:rsid w:val="007C6F98"/>
    <w:rsid w:val="007E254A"/>
    <w:rsid w:val="00817811"/>
    <w:rsid w:val="008B4366"/>
    <w:rsid w:val="009133C7"/>
    <w:rsid w:val="009178E4"/>
    <w:rsid w:val="00961B27"/>
    <w:rsid w:val="009A4BEE"/>
    <w:rsid w:val="009D2517"/>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D2517"/>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9D2517"/>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2109</Words>
  <Characters>10549</Characters>
  <Application>Microsoft Office Word</Application>
  <DocSecurity>0</DocSecurity>
  <Lines>87</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2023-06-29T10:42:00Z</dcterms:created>
  <dcterms:modified xsi:type="dcterms:W3CDTF">2023-06-29T10:42:00Z</dcterms:modified>
</cp:coreProperties>
</file>